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1B14CC"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8E5E0F">
        <w:rPr>
          <w:rFonts w:ascii="Arial" w:eastAsia="바탕" w:hAnsi="Arial" w:cs="Arial"/>
          <w:b/>
          <w:bCs/>
          <w:snapToGrid w:val="0"/>
          <w:sz w:val="24"/>
          <w:szCs w:val="24"/>
          <w:lang w:val="en-GB"/>
        </w:rPr>
        <w:t>1</w:t>
      </w:r>
      <w:r w:rsidR="009960D2">
        <w:rPr>
          <w:rFonts w:ascii="Arial" w:eastAsia="바탕" w:hAnsi="Arial" w:cs="Arial"/>
          <w:b/>
          <w:bCs/>
          <w:snapToGrid w:val="0"/>
          <w:sz w:val="24"/>
          <w:szCs w:val="24"/>
          <w:lang w:val="en-GB"/>
        </w:rPr>
        <w:t>6</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t>R1-</w:t>
      </w:r>
      <w:r w:rsidR="0050354D" w:rsidRPr="0050354D">
        <w:rPr>
          <w:rFonts w:ascii="Arial" w:eastAsia="바탕" w:hAnsi="Arial" w:cs="Arial"/>
          <w:b/>
          <w:bCs/>
          <w:snapToGrid w:val="0"/>
          <w:sz w:val="24"/>
          <w:szCs w:val="24"/>
          <w:lang w:val="en-GB"/>
        </w:rPr>
        <w:t>2400791</w:t>
      </w:r>
    </w:p>
    <w:p w:rsidR="00C109EC" w:rsidRPr="008B2BE5" w:rsidRDefault="009960D2"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February</w:t>
      </w:r>
      <w:r w:rsidR="00E911C4">
        <w:rPr>
          <w:rFonts w:ascii="Arial" w:eastAsia="바탕" w:hAnsi="Arial" w:cs="Arial"/>
          <w:b/>
          <w:bCs/>
          <w:snapToGrid w:val="0"/>
          <w:sz w:val="24"/>
          <w:szCs w:val="24"/>
          <w:lang w:val="en-GB"/>
        </w:rPr>
        <w:t xml:space="preserve"> </w:t>
      </w:r>
      <w:r w:rsidR="00BE7CC5">
        <w:rPr>
          <w:rFonts w:ascii="Arial" w:eastAsia="바탕" w:hAnsi="Arial" w:cs="Arial"/>
          <w:b/>
          <w:bCs/>
          <w:snapToGrid w:val="0"/>
          <w:sz w:val="24"/>
          <w:szCs w:val="24"/>
          <w:lang w:val="en-GB"/>
        </w:rPr>
        <w:t>2</w:t>
      </w:r>
      <w:r>
        <w:rPr>
          <w:rFonts w:ascii="Arial" w:eastAsia="바탕" w:hAnsi="Arial" w:cs="Arial"/>
          <w:b/>
          <w:bCs/>
          <w:snapToGrid w:val="0"/>
          <w:sz w:val="24"/>
          <w:szCs w:val="24"/>
          <w:lang w:val="en-GB"/>
        </w:rPr>
        <w:t>6</w:t>
      </w:r>
      <w:r w:rsidR="00C109EC" w:rsidRPr="008B2BE5">
        <w:rPr>
          <w:rFonts w:ascii="Arial" w:eastAsia="바탕" w:hAnsi="Arial" w:cs="Arial"/>
          <w:b/>
          <w:bCs/>
          <w:snapToGrid w:val="0"/>
          <w:sz w:val="24"/>
          <w:szCs w:val="24"/>
          <w:lang w:val="en-GB"/>
        </w:rPr>
        <w:t xml:space="preserve"> – </w:t>
      </w:r>
      <w:r>
        <w:rPr>
          <w:rFonts w:ascii="Arial" w:eastAsia="바탕" w:hAnsi="Arial" w:cs="Arial"/>
          <w:b/>
          <w:bCs/>
          <w:snapToGrid w:val="0"/>
          <w:sz w:val="24"/>
          <w:szCs w:val="24"/>
          <w:lang w:val="en-GB"/>
        </w:rPr>
        <w:t>March 1</w:t>
      </w:r>
      <w:r w:rsidR="00C109EC"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4</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2400AB">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w:t>
      </w:r>
      <w:r w:rsidR="002400AB">
        <w:rPr>
          <w:rFonts w:ascii="Arial" w:eastAsia="바탕" w:hAnsi="Arial" w:cs="Arial" w:hint="eastAsia"/>
          <w:snapToGrid w:val="0"/>
          <w:sz w:val="24"/>
          <w:szCs w:val="24"/>
        </w:rPr>
        <w:t>deployment scenarios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following</w:t>
      </w:r>
      <w:r>
        <w:rPr>
          <w:rFonts w:ascii="Calibri" w:eastAsia="바탕" w:hAnsi="Calibri" w:cs="Calibri"/>
          <w:sz w:val="22"/>
        </w:rPr>
        <w:t xml:space="preserve"> objectives are defined in</w:t>
      </w:r>
      <w:r>
        <w:rPr>
          <w:rFonts w:ascii="Calibri" w:eastAsia="바탕" w:hAnsi="Calibri" w:cs="Calibri" w:hint="eastAsia"/>
          <w:sz w:val="22"/>
        </w:rPr>
        <w:t xml:space="preserve"> Rel.19 ISAC SID</w:t>
      </w:r>
      <w:r>
        <w:rPr>
          <w:rFonts w:ascii="Calibri" w:eastAsia="바탕" w:hAnsi="Calibri" w:cs="Calibri"/>
          <w:sz w:val="22"/>
        </w:rPr>
        <w:t xml:space="preserve"> [1].</w:t>
      </w:r>
    </w:p>
    <w:tbl>
      <w:tblPr>
        <w:tblStyle w:val="aa"/>
        <w:tblW w:w="0" w:type="auto"/>
        <w:tblLook w:val="04A0" w:firstRow="1" w:lastRow="0" w:firstColumn="1" w:lastColumn="0" w:noHBand="0" w:noVBand="1"/>
      </w:tblPr>
      <w:tblGrid>
        <w:gridCol w:w="9362"/>
      </w:tblGrid>
      <w:tr w:rsidR="00FC3A33" w:rsidTr="00FC3A33">
        <w:tc>
          <w:tcPr>
            <w:tcW w:w="9362" w:type="dxa"/>
          </w:tcPr>
          <w:p w:rsidR="00FC3A33" w:rsidRPr="009004F5" w:rsidRDefault="00FC3A33" w:rsidP="00FC3A33">
            <w:pPr>
              <w:rPr>
                <w:bCs/>
              </w:rPr>
            </w:pPr>
            <w:r w:rsidRPr="009004F5">
              <w:rPr>
                <w:bCs/>
              </w:rPr>
              <w:t xml:space="preserve">The focus of the </w:t>
            </w:r>
            <w:r>
              <w:rPr>
                <w:bCs/>
              </w:rPr>
              <w:t>study</w:t>
            </w:r>
            <w:r w:rsidRPr="009004F5">
              <w:rPr>
                <w:bCs/>
              </w:rPr>
              <w:t xml:space="preserve"> is to define channel modelling aspects to support object detection and/or tracking (as per the SA1 meaning in TS 22.137).</w:t>
            </w:r>
            <w:r>
              <w:rPr>
                <w:bCs/>
              </w:rPr>
              <w:t xml:space="preserve"> </w:t>
            </w:r>
            <w:r w:rsidRPr="009004F5">
              <w:rPr>
                <w:bCs/>
              </w:rPr>
              <w:t>The study should aim at a common modelling framework capable of detecting and/or tracking the following example objects and to enable them to be distinguished from unintended objects:</w:t>
            </w:r>
          </w:p>
          <w:p w:rsidR="00FC3A33" w:rsidRPr="009004F5" w:rsidRDefault="00FC3A33" w:rsidP="00FC3A33">
            <w:pPr>
              <w:widowControl/>
              <w:numPr>
                <w:ilvl w:val="0"/>
                <w:numId w:val="31"/>
              </w:numPr>
              <w:wordWrap/>
              <w:overflowPunct w:val="0"/>
              <w:adjustRightInd w:val="0"/>
              <w:jc w:val="left"/>
              <w:textAlignment w:val="baseline"/>
              <w:rPr>
                <w:bCs/>
              </w:rPr>
            </w:pPr>
            <w:r w:rsidRPr="009004F5">
              <w:rPr>
                <w:bCs/>
              </w:rPr>
              <w:t>UAVs</w:t>
            </w:r>
          </w:p>
          <w:p w:rsidR="00FC3A33" w:rsidRPr="009004F5" w:rsidRDefault="00FC3A33" w:rsidP="00FC3A33">
            <w:pPr>
              <w:widowControl/>
              <w:numPr>
                <w:ilvl w:val="0"/>
                <w:numId w:val="31"/>
              </w:numPr>
              <w:wordWrap/>
              <w:overflowPunct w:val="0"/>
              <w:adjustRightInd w:val="0"/>
              <w:jc w:val="left"/>
              <w:textAlignment w:val="baseline"/>
              <w:rPr>
                <w:bCs/>
              </w:rPr>
            </w:pPr>
            <w:r w:rsidRPr="009004F5">
              <w:rPr>
                <w:bCs/>
              </w:rPr>
              <w:t xml:space="preserve">Humans indoors and outdoors </w:t>
            </w:r>
          </w:p>
          <w:p w:rsidR="00FC3A33" w:rsidRPr="009004F5" w:rsidRDefault="00FC3A33" w:rsidP="00FC3A33">
            <w:pPr>
              <w:widowControl/>
              <w:numPr>
                <w:ilvl w:val="0"/>
                <w:numId w:val="31"/>
              </w:numPr>
              <w:wordWrap/>
              <w:overflowPunct w:val="0"/>
              <w:adjustRightInd w:val="0"/>
              <w:jc w:val="left"/>
              <w:textAlignment w:val="baseline"/>
              <w:rPr>
                <w:bCs/>
              </w:rPr>
            </w:pPr>
            <w:r w:rsidRPr="009004F5">
              <w:rPr>
                <w:bCs/>
              </w:rPr>
              <w:t>Automotive vehicles (at least outdoors)</w:t>
            </w:r>
          </w:p>
          <w:p w:rsidR="00FC3A33" w:rsidRPr="009004F5" w:rsidRDefault="00FC3A33" w:rsidP="00FC3A33">
            <w:pPr>
              <w:widowControl/>
              <w:numPr>
                <w:ilvl w:val="0"/>
                <w:numId w:val="31"/>
              </w:numPr>
              <w:wordWrap/>
              <w:overflowPunct w:val="0"/>
              <w:adjustRightInd w:val="0"/>
              <w:jc w:val="left"/>
              <w:textAlignment w:val="baseline"/>
              <w:rPr>
                <w:bCs/>
              </w:rPr>
            </w:pPr>
            <w:r w:rsidRPr="009004F5">
              <w:rPr>
                <w:bCs/>
              </w:rPr>
              <w:t>Automated guided vehicles (e.g. in indoor factories)</w:t>
            </w:r>
          </w:p>
          <w:p w:rsidR="00FC3A33" w:rsidRPr="001D457E" w:rsidRDefault="00FC3A33" w:rsidP="00FC3A33">
            <w:pPr>
              <w:widowControl/>
              <w:numPr>
                <w:ilvl w:val="0"/>
                <w:numId w:val="31"/>
              </w:numPr>
              <w:wordWrap/>
              <w:overflowPunct w:val="0"/>
              <w:adjustRightInd w:val="0"/>
              <w:jc w:val="left"/>
              <w:textAlignment w:val="baseline"/>
              <w:rPr>
                <w:bCs/>
              </w:rPr>
            </w:pPr>
            <w:r w:rsidRPr="001D457E">
              <w:rPr>
                <w:bCs/>
              </w:rPr>
              <w:t>Objects creating hazards on roads/railways, with a minimum size dependent on frequency</w:t>
            </w:r>
          </w:p>
          <w:p w:rsidR="00FC3A33" w:rsidRPr="009004F5" w:rsidRDefault="00FC3A33" w:rsidP="00FC3A33">
            <w:pPr>
              <w:rPr>
                <w:bCs/>
              </w:rPr>
            </w:pPr>
          </w:p>
          <w:p w:rsidR="00FC3A33" w:rsidRPr="009004F5" w:rsidRDefault="00FC3A33" w:rsidP="00FC3A33">
            <w:pPr>
              <w:rPr>
                <w:bCs/>
              </w:rPr>
            </w:pPr>
            <w:r w:rsidRPr="009004F5">
              <w:rPr>
                <w:bCs/>
              </w:rPr>
              <w:t>All six sensing modes should be considered</w:t>
            </w:r>
            <w:r>
              <w:rPr>
                <w:bCs/>
              </w:rPr>
              <w:t xml:space="preserve"> </w:t>
            </w:r>
            <w:r w:rsidRPr="00D84683">
              <w:rPr>
                <w:bCs/>
              </w:rPr>
              <w:t xml:space="preserve">(i.e. </w:t>
            </w:r>
            <w:r>
              <w:rPr>
                <w:bCs/>
              </w:rPr>
              <w:t>TRP</w:t>
            </w:r>
            <w:r w:rsidRPr="00D84683">
              <w:rPr>
                <w:bCs/>
              </w:rPr>
              <w:t>-</w:t>
            </w:r>
            <w:r>
              <w:rPr>
                <w:bCs/>
              </w:rPr>
              <w:t>TRP</w:t>
            </w:r>
            <w:r w:rsidRPr="00D84683">
              <w:rPr>
                <w:bCs/>
              </w:rPr>
              <w:t xml:space="preserve"> </w:t>
            </w:r>
            <w:proofErr w:type="spellStart"/>
            <w:r w:rsidRPr="00D84683">
              <w:rPr>
                <w:bCs/>
              </w:rPr>
              <w:t>bistatic</w:t>
            </w:r>
            <w:proofErr w:type="spellEnd"/>
            <w:r w:rsidRPr="00D84683">
              <w:rPr>
                <w:bCs/>
              </w:rPr>
              <w:t xml:space="preserve">, </w:t>
            </w:r>
            <w:r>
              <w:rPr>
                <w:bCs/>
              </w:rPr>
              <w:t>TRP</w:t>
            </w:r>
            <w:r w:rsidRPr="00D84683">
              <w:rPr>
                <w:bCs/>
              </w:rPr>
              <w:t xml:space="preserve"> </w:t>
            </w:r>
            <w:proofErr w:type="spellStart"/>
            <w:r w:rsidRPr="00D84683">
              <w:rPr>
                <w:bCs/>
              </w:rPr>
              <w:t>monostatic</w:t>
            </w:r>
            <w:proofErr w:type="spellEnd"/>
            <w:r w:rsidRPr="00D84683">
              <w:rPr>
                <w:bCs/>
              </w:rPr>
              <w:t xml:space="preserve">, </w:t>
            </w:r>
            <w:r>
              <w:rPr>
                <w:bCs/>
              </w:rPr>
              <w:t>TRP</w:t>
            </w:r>
            <w:r w:rsidRPr="00D84683">
              <w:rPr>
                <w:bCs/>
              </w:rPr>
              <w:t xml:space="preserve">-UE </w:t>
            </w:r>
            <w:proofErr w:type="spellStart"/>
            <w:r w:rsidRPr="00D84683">
              <w:rPr>
                <w:bCs/>
              </w:rPr>
              <w:t>bistatic</w:t>
            </w:r>
            <w:proofErr w:type="spellEnd"/>
            <w:r w:rsidRPr="00D84683">
              <w:rPr>
                <w:bCs/>
              </w:rPr>
              <w:t>, UE-</w:t>
            </w:r>
            <w:r>
              <w:rPr>
                <w:bCs/>
              </w:rPr>
              <w:t>TRP</w:t>
            </w:r>
            <w:r w:rsidRPr="00D84683">
              <w:rPr>
                <w:bCs/>
              </w:rPr>
              <w:t xml:space="preserve"> </w:t>
            </w:r>
            <w:proofErr w:type="spellStart"/>
            <w:r w:rsidRPr="00D84683">
              <w:rPr>
                <w:bCs/>
              </w:rPr>
              <w:t>bistatic</w:t>
            </w:r>
            <w:proofErr w:type="spellEnd"/>
            <w:r w:rsidRPr="00D84683">
              <w:rPr>
                <w:bCs/>
              </w:rPr>
              <w:t xml:space="preserve">, UE-UE </w:t>
            </w:r>
            <w:proofErr w:type="spellStart"/>
            <w:r w:rsidRPr="00D84683">
              <w:rPr>
                <w:bCs/>
              </w:rPr>
              <w:t>bistatic</w:t>
            </w:r>
            <w:proofErr w:type="spellEnd"/>
            <w:r w:rsidRPr="00D84683">
              <w:rPr>
                <w:bCs/>
              </w:rPr>
              <w:t xml:space="preserve">, UE </w:t>
            </w:r>
            <w:proofErr w:type="spellStart"/>
            <w:r w:rsidRPr="00D84683">
              <w:rPr>
                <w:bCs/>
              </w:rPr>
              <w:t>monostatic).</w:t>
            </w:r>
            <w:proofErr w:type="spellEnd"/>
            <w:r>
              <w:rPr>
                <w:bCs/>
              </w:rPr>
              <w:t xml:space="preserve"> </w:t>
            </w:r>
          </w:p>
          <w:p w:rsidR="00FC3A33" w:rsidRPr="009004F5" w:rsidRDefault="00FC3A33" w:rsidP="00FC3A33">
            <w:pPr>
              <w:rPr>
                <w:bCs/>
              </w:rPr>
            </w:pPr>
          </w:p>
          <w:p w:rsidR="00FC3A33" w:rsidRPr="009004F5" w:rsidRDefault="00FC3A33" w:rsidP="00FC3A33">
            <w:pPr>
              <w:rPr>
                <w:bCs/>
              </w:rPr>
            </w:pPr>
            <w:r w:rsidRPr="009004F5">
              <w:rPr>
                <w:bCs/>
              </w:rPr>
              <w:t>Frequencies from 0.5 to 52.6 GHz are the primary focus, with the assumption that the modelling approach should scale to 100 GHz. (If significant problems are identified with scaling above 52.6 GHz, the range above 52.6 GHz can be deprioritized.)</w:t>
            </w:r>
          </w:p>
          <w:p w:rsidR="00FC3A33" w:rsidRDefault="00FC3A33" w:rsidP="00FC3A33">
            <w:pPr>
              <w:rPr>
                <w:bCs/>
              </w:rPr>
            </w:pPr>
          </w:p>
          <w:p w:rsidR="00FC3A33" w:rsidRDefault="00FC3A33" w:rsidP="00FC3A33">
            <w:pPr>
              <w:rPr>
                <w:bCs/>
              </w:rPr>
            </w:pPr>
            <w:r>
              <w:rPr>
                <w:bCs/>
              </w:rPr>
              <w:t>For the above use cases, sensing modes and frequencies:</w:t>
            </w:r>
          </w:p>
          <w:p w:rsidR="00FC3A33" w:rsidRDefault="00FC3A33" w:rsidP="00FC3A33">
            <w:pPr>
              <w:widowControl/>
              <w:numPr>
                <w:ilvl w:val="0"/>
                <w:numId w:val="29"/>
              </w:numPr>
              <w:wordWrap/>
              <w:overflowPunct w:val="0"/>
              <w:adjustRightInd w:val="0"/>
              <w:jc w:val="left"/>
              <w:textAlignment w:val="baseline"/>
              <w:rPr>
                <w:bCs/>
              </w:rPr>
            </w:pPr>
            <w:r>
              <w:rPr>
                <w:bCs/>
              </w:rPr>
              <w:t>Identify details of the deployment scenarios corresponding to the above use cases.</w:t>
            </w:r>
          </w:p>
          <w:p w:rsidR="00FC3A33" w:rsidRPr="005F70BA" w:rsidRDefault="00FC3A33" w:rsidP="00FC3A33">
            <w:pPr>
              <w:widowControl/>
              <w:numPr>
                <w:ilvl w:val="0"/>
                <w:numId w:val="29"/>
              </w:numPr>
              <w:wordWrap/>
              <w:overflowPunct w:val="0"/>
              <w:adjustRightInd w:val="0"/>
              <w:jc w:val="left"/>
              <w:textAlignment w:val="baseline"/>
              <w:rPr>
                <w:bCs/>
              </w:rPr>
            </w:pPr>
            <w:r>
              <w:rPr>
                <w:bCs/>
              </w:rPr>
              <w:t>D</w:t>
            </w:r>
            <w:r w:rsidRPr="005F70BA">
              <w:rPr>
                <w:bCs/>
              </w:rPr>
              <w:t>efine channel modelling details for sensing using 38.</w:t>
            </w:r>
            <w:r w:rsidRPr="00351A9B">
              <w:rPr>
                <w:bCs/>
              </w:rPr>
              <w:t xml:space="preserve">901 </w:t>
            </w:r>
            <w:r w:rsidRPr="005F70BA">
              <w:rPr>
                <w:bCs/>
              </w:rPr>
              <w:t>as a starting point, and taking into account relevant measurements, including:</w:t>
            </w:r>
          </w:p>
          <w:p w:rsidR="00FC3A33" w:rsidRPr="005F70BA" w:rsidRDefault="00FC3A33" w:rsidP="00FC3A33">
            <w:pPr>
              <w:widowControl/>
              <w:numPr>
                <w:ilvl w:val="0"/>
                <w:numId w:val="30"/>
              </w:numPr>
              <w:wordWrap/>
              <w:overflowPunct w:val="0"/>
              <w:adjustRightInd w:val="0"/>
              <w:jc w:val="left"/>
              <w:textAlignment w:val="baseline"/>
              <w:rPr>
                <w:bCs/>
              </w:rPr>
            </w:pPr>
            <w:r w:rsidRPr="005F70BA">
              <w:rPr>
                <w:bCs/>
              </w:rPr>
              <w:t>modelling of sensing targets</w:t>
            </w:r>
            <w:r>
              <w:rPr>
                <w:bCs/>
              </w:rPr>
              <w:t xml:space="preserve"> and background environment</w:t>
            </w:r>
            <w:r w:rsidRPr="005F70BA">
              <w:rPr>
                <w:bCs/>
              </w:rPr>
              <w:t xml:space="preserve">, including, for example (if needed by the </w:t>
            </w:r>
            <w:r>
              <w:rPr>
                <w:bCs/>
              </w:rPr>
              <w:t>above</w:t>
            </w:r>
            <w:r w:rsidRPr="005F70BA">
              <w:rPr>
                <w:bCs/>
              </w:rPr>
              <w:t xml:space="preserve"> use cases), radar cross-section (RCS), mobility and clutter/scattering patterns;</w:t>
            </w:r>
          </w:p>
          <w:p w:rsidR="00FC3A33" w:rsidRDefault="00FC3A33" w:rsidP="00FC3A33">
            <w:pPr>
              <w:widowControl/>
              <w:numPr>
                <w:ilvl w:val="0"/>
                <w:numId w:val="30"/>
              </w:numPr>
              <w:wordWrap/>
              <w:overflowPunct w:val="0"/>
              <w:adjustRightInd w:val="0"/>
              <w:jc w:val="left"/>
              <w:textAlignment w:val="baseline"/>
              <w:rPr>
                <w:bCs/>
              </w:rPr>
            </w:pPr>
            <w:proofErr w:type="gramStart"/>
            <w:r w:rsidRPr="005F70BA">
              <w:rPr>
                <w:bCs/>
              </w:rPr>
              <w:t>spatial</w:t>
            </w:r>
            <w:proofErr w:type="gramEnd"/>
            <w:r w:rsidRPr="005F70BA">
              <w:rPr>
                <w:bCs/>
              </w:rPr>
              <w:t xml:space="preserve"> consistency.</w:t>
            </w:r>
          </w:p>
          <w:p w:rsidR="00FC3A33" w:rsidRDefault="00FC3A33" w:rsidP="00FC3A33">
            <w:pPr>
              <w:rPr>
                <w:bCs/>
              </w:rPr>
            </w:pPr>
          </w:p>
          <w:p w:rsidR="00FC3A33" w:rsidRPr="00FC3A33" w:rsidRDefault="00FC3A33" w:rsidP="00FC3A33">
            <w:pPr>
              <w:rPr>
                <w:bCs/>
              </w:rPr>
            </w:pPr>
            <w:r>
              <w:rPr>
                <w:bCs/>
              </w:rPr>
              <w:t>It will be discussed at RAN#105 whether to include additional study beyond channel modelling for ISAC.</w:t>
            </w:r>
          </w:p>
        </w:tc>
      </w:tr>
    </w:tbl>
    <w:p w:rsidR="00FC3A33" w:rsidRPr="00FC3A33"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In this contribution, we discuss</w:t>
      </w:r>
      <w:r>
        <w:rPr>
          <w:rFonts w:ascii="Calibri" w:eastAsia="바탕" w:hAnsi="Calibri" w:cs="Calibri"/>
          <w:sz w:val="22"/>
        </w:rPr>
        <w:t xml:space="preserve"> the deployment scenarios for the ISAC channel modeling</w:t>
      </w:r>
      <w:r w:rsidRPr="008B2BE5">
        <w:rPr>
          <w:rFonts w:ascii="Calibri" w:eastAsia="바탕" w:hAnsi="Calibri" w:cs="Calibri"/>
          <w:sz w:val="22"/>
        </w:rPr>
        <w:t>.</w:t>
      </w:r>
    </w:p>
    <w:p w:rsidR="00C109EC" w:rsidRDefault="00FC3A33"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2A5661" w:rsidRDefault="002A5661"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r w:rsidR="006727D7">
        <w:rPr>
          <w:rFonts w:ascii="Calibri" w:eastAsia="바탕" w:hAnsi="Calibri" w:cs="Calibri"/>
          <w:sz w:val="22"/>
        </w:rPr>
        <w:t>SNR</w:t>
      </w:r>
      <w:r>
        <w:rPr>
          <w:rFonts w:ascii="Calibri" w:eastAsia="바탕" w:hAnsi="Calibri" w:cs="Calibri"/>
          <w:sz w:val="22"/>
        </w:rPr>
        <w:t xml:space="preserve"> of the received sensing signal can be one of the metric for performance comparison between </w:t>
      </w:r>
      <w:proofErr w:type="spellStart"/>
      <w:proofErr w:type="gramStart"/>
      <w:r>
        <w:rPr>
          <w:rFonts w:ascii="Calibri" w:eastAsia="바탕" w:hAnsi="Calibri" w:cs="Calibri"/>
          <w:sz w:val="22"/>
        </w:rPr>
        <w:t>monostatic</w:t>
      </w:r>
      <w:proofErr w:type="spellEnd"/>
      <w:proofErr w:type="gramEnd"/>
      <w:r>
        <w:rPr>
          <w:rFonts w:ascii="Calibri" w:eastAsia="바탕" w:hAnsi="Calibri" w:cs="Calibri"/>
          <w:sz w:val="22"/>
        </w:rPr>
        <w:t xml:space="preserve"> and </w:t>
      </w:r>
      <w:proofErr w:type="spellStart"/>
      <w:r>
        <w:rPr>
          <w:rFonts w:ascii="Calibri" w:eastAsia="바탕" w:hAnsi="Calibri" w:cs="Calibri"/>
          <w:sz w:val="22"/>
        </w:rPr>
        <w:t>bistatic</w:t>
      </w:r>
      <w:proofErr w:type="spellEnd"/>
      <w:r>
        <w:rPr>
          <w:rFonts w:ascii="Calibri" w:eastAsia="바탕" w:hAnsi="Calibri" w:cs="Calibri"/>
          <w:sz w:val="22"/>
        </w:rPr>
        <w:t xml:space="preserve"> sensing. The </w:t>
      </w:r>
      <w:proofErr w:type="spellStart"/>
      <w:r w:rsidR="006727D7">
        <w:rPr>
          <w:rFonts w:ascii="Calibri" w:eastAsia="바탕" w:hAnsi="Calibri" w:cs="Calibri"/>
          <w:sz w:val="22"/>
        </w:rPr>
        <w:t>pathloss</w:t>
      </w:r>
      <w:proofErr w:type="spellEnd"/>
      <w:r>
        <w:rPr>
          <w:rFonts w:ascii="Calibri" w:eastAsia="바탕" w:hAnsi="Calibri" w:cs="Calibri"/>
          <w:sz w:val="22"/>
        </w:rPr>
        <w:t xml:space="preserve"> of the </w:t>
      </w:r>
      <w:proofErr w:type="spellStart"/>
      <w:r>
        <w:rPr>
          <w:rFonts w:ascii="Calibri" w:eastAsia="바탕" w:hAnsi="Calibri" w:cs="Calibri"/>
          <w:sz w:val="22"/>
        </w:rPr>
        <w:t>monostatic</w:t>
      </w:r>
      <w:proofErr w:type="spellEnd"/>
      <w:r>
        <w:rPr>
          <w:rFonts w:ascii="Calibri" w:eastAsia="바탕" w:hAnsi="Calibri" w:cs="Calibri"/>
          <w:sz w:val="22"/>
        </w:rPr>
        <w:t xml:space="preserve"> sensing is proportional to the 4</w:t>
      </w:r>
      <w:r w:rsidRPr="002A5661">
        <w:rPr>
          <w:rFonts w:ascii="Calibri" w:eastAsia="바탕" w:hAnsi="Calibri" w:cs="Calibri"/>
          <w:sz w:val="22"/>
          <w:vertAlign w:val="superscript"/>
        </w:rPr>
        <w:t>th</w:t>
      </w:r>
      <w:r>
        <w:rPr>
          <w:rFonts w:ascii="Calibri" w:eastAsia="바탕" w:hAnsi="Calibri" w:cs="Calibri"/>
          <w:sz w:val="22"/>
        </w:rPr>
        <w:t xml:space="preserve"> power of the distance</w:t>
      </w:r>
      <w:r w:rsidR="005B6ABD">
        <w:rPr>
          <w:rFonts w:ascii="Calibri" w:eastAsia="바탕" w:hAnsi="Calibri" w:cs="Calibri"/>
          <w:sz w:val="22"/>
        </w:rPr>
        <w:t xml:space="preserve"> (D)</w:t>
      </w:r>
      <w:r>
        <w:rPr>
          <w:rFonts w:ascii="Calibri" w:eastAsia="바탕" w:hAnsi="Calibri" w:cs="Calibri"/>
          <w:sz w:val="22"/>
        </w:rPr>
        <w:t xml:space="preserve"> between the sensing entity and the target object.</w:t>
      </w:r>
    </w:p>
    <w:p w:rsidR="002A5661" w:rsidRDefault="00355E00" w:rsidP="009C7D4B">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monostatic</m:t>
              </m:r>
            </m:sub>
          </m:sSub>
          <m:r>
            <w:rPr>
              <w:rFonts w:ascii="Cambria Math" w:eastAsia="바탕" w:hAnsi="Cambria Math" w:cs="Calibri"/>
              <w:sz w:val="22"/>
            </w:rPr>
            <m:t>∝</m:t>
          </m:r>
          <m:sSup>
            <m:sSupPr>
              <m:ctrlPr>
                <w:rPr>
                  <w:rFonts w:ascii="Cambria Math" w:eastAsia="바탕" w:hAnsi="Cambria Math" w:cs="Calibri"/>
                  <w:i/>
                  <w:sz w:val="22"/>
                </w:rPr>
              </m:ctrlPr>
            </m:sSupPr>
            <m:e>
              <m:r>
                <w:rPr>
                  <w:rFonts w:ascii="Cambria Math" w:eastAsia="바탕" w:hAnsi="Cambria Math" w:cs="Calibri"/>
                  <w:sz w:val="22"/>
                </w:rPr>
                <m:t>D</m:t>
              </m:r>
            </m:e>
            <m:sup>
              <m:r>
                <w:rPr>
                  <w:rFonts w:ascii="Cambria Math" w:eastAsia="바탕" w:hAnsi="Cambria Math" w:cs="Calibri"/>
                  <w:sz w:val="22"/>
                </w:rPr>
                <m:t>4</m:t>
              </m:r>
            </m:sup>
          </m:sSup>
        </m:oMath>
      </m:oMathPara>
    </w:p>
    <w:p w:rsidR="006727D7"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sz w:val="22"/>
        </w:rPr>
        <w:t xml:space="preserve">Therefore, at the edge of the network coverage for example, the received signal power is </w:t>
      </w:r>
      <w:r>
        <w:rPr>
          <w:rFonts w:ascii="Calibri" w:eastAsia="바탕" w:hAnsi="Calibri" w:cs="Calibri"/>
          <w:sz w:val="22"/>
        </w:rPr>
        <w:t>too</w:t>
      </w:r>
      <w:r>
        <w:rPr>
          <w:rFonts w:ascii="Calibri" w:eastAsia="바탕" w:hAnsi="Calibri" w:cs="Calibri" w:hint="eastAsia"/>
          <w:sz w:val="22"/>
        </w:rPr>
        <w:t xml:space="preserve"> low for object detection in </w:t>
      </w:r>
      <w:proofErr w:type="spellStart"/>
      <w:r>
        <w:rPr>
          <w:rFonts w:ascii="Calibri" w:eastAsia="바탕" w:hAnsi="Calibri" w:cs="Calibri" w:hint="eastAsia"/>
          <w:sz w:val="22"/>
        </w:rPr>
        <w:t>monostatic</w:t>
      </w:r>
      <w:proofErr w:type="spellEnd"/>
      <w:r>
        <w:rPr>
          <w:rFonts w:ascii="Calibri" w:eastAsia="바탕" w:hAnsi="Calibri" w:cs="Calibri" w:hint="eastAsia"/>
          <w:sz w:val="22"/>
        </w:rPr>
        <w:t xml:space="preserve"> </w:t>
      </w:r>
      <w:r>
        <w:rPr>
          <w:rFonts w:ascii="Calibri" w:eastAsia="바탕" w:hAnsi="Calibri" w:cs="Calibri"/>
          <w:sz w:val="22"/>
        </w:rPr>
        <w:t>sensing</w:t>
      </w:r>
      <w:r>
        <w:rPr>
          <w:rFonts w:ascii="Calibri" w:eastAsia="바탕" w:hAnsi="Calibri" w:cs="Calibri" w:hint="eastAsia"/>
          <w:sz w:val="22"/>
        </w:rPr>
        <w:t xml:space="preserve">. It means that the sensing coverage is much smaller than that of the communication, where the </w:t>
      </w:r>
      <w:proofErr w:type="spellStart"/>
      <w:r>
        <w:rPr>
          <w:rFonts w:ascii="Calibri" w:eastAsia="바탕" w:hAnsi="Calibri" w:cs="Calibri"/>
          <w:sz w:val="22"/>
        </w:rPr>
        <w:t>pathloss</w:t>
      </w:r>
      <w:proofErr w:type="spellEnd"/>
      <w:r>
        <w:rPr>
          <w:rFonts w:ascii="Calibri" w:eastAsia="바탕" w:hAnsi="Calibri" w:cs="Calibri"/>
          <w:sz w:val="22"/>
        </w:rPr>
        <w:t xml:space="preserve"> of the received signal is proportional to the square of the distance.</w:t>
      </w:r>
    </w:p>
    <w:p w:rsidR="00F478E5" w:rsidRDefault="00F478E5" w:rsidP="00F478E5">
      <w:pPr>
        <w:keepNext/>
        <w:wordWrap/>
        <w:adjustRightInd w:val="0"/>
        <w:snapToGrid w:val="0"/>
        <w:spacing w:before="100" w:beforeAutospacing="1" w:afterLines="50" w:after="120" w:line="264" w:lineRule="auto"/>
        <w:jc w:val="center"/>
      </w:pPr>
      <w:r>
        <w:rPr>
          <w:rFonts w:ascii="Calibri" w:eastAsia="바탕" w:hAnsi="Calibri" w:cs="Calibri"/>
          <w:noProof/>
          <w:sz w:val="22"/>
        </w:rPr>
        <w:lastRenderedPageBreak/>
        <w:drawing>
          <wp:inline distT="0" distB="0" distL="0" distR="0" wp14:anchorId="5BAC1FCC" wp14:editId="754CC619">
            <wp:extent cx="3650400" cy="126000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50400" cy="1260000"/>
                    </a:xfrm>
                    <a:prstGeom prst="rect">
                      <a:avLst/>
                    </a:prstGeom>
                    <a:noFill/>
                  </pic:spPr>
                </pic:pic>
              </a:graphicData>
            </a:graphic>
          </wp:inline>
        </w:drawing>
      </w:r>
    </w:p>
    <w:p w:rsidR="00F478E5" w:rsidRDefault="00F478E5" w:rsidP="00F478E5">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1</w:t>
      </w:r>
      <w:r>
        <w:fldChar w:fldCharType="end"/>
      </w:r>
      <w:r>
        <w:t xml:space="preserve"> Monostatic sensing</w:t>
      </w:r>
      <w:r>
        <w:rPr>
          <w:noProof/>
        </w:rPr>
        <w:t xml:space="preserve"> coverage</w:t>
      </w:r>
    </w:p>
    <w:p w:rsidR="009C7D4B" w:rsidRDefault="002A5661" w:rsidP="006727D7">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w:t>
      </w:r>
      <w:proofErr w:type="spellStart"/>
      <w:r w:rsidR="006727D7">
        <w:rPr>
          <w:rFonts w:ascii="Calibri" w:eastAsia="바탕" w:hAnsi="Calibri" w:cs="Calibri"/>
          <w:sz w:val="22"/>
        </w:rPr>
        <w:t>pathloss</w:t>
      </w:r>
      <w:proofErr w:type="spellEnd"/>
      <w:r>
        <w:rPr>
          <w:rFonts w:ascii="Calibri" w:eastAsia="바탕" w:hAnsi="Calibri" w:cs="Calibri"/>
          <w:sz w:val="22"/>
        </w:rPr>
        <w:t xml:space="preserve"> of the </w:t>
      </w:r>
      <w:proofErr w:type="spellStart"/>
      <w:r>
        <w:rPr>
          <w:rFonts w:ascii="Calibri" w:eastAsia="바탕" w:hAnsi="Calibri" w:cs="Calibri"/>
          <w:sz w:val="22"/>
        </w:rPr>
        <w:t>bistatic</w:t>
      </w:r>
      <w:proofErr w:type="spellEnd"/>
      <w:r>
        <w:rPr>
          <w:rFonts w:ascii="Calibri" w:eastAsia="바탕" w:hAnsi="Calibri" w:cs="Calibri"/>
          <w:sz w:val="22"/>
        </w:rPr>
        <w:t xml:space="preserve"> sensing is proportional to the </w:t>
      </w:r>
      <w:r w:rsidR="005B6ABD">
        <w:rPr>
          <w:rFonts w:ascii="Calibri" w:eastAsia="바탕" w:hAnsi="Calibri" w:cs="Calibri"/>
          <w:sz w:val="22"/>
        </w:rPr>
        <w:t xml:space="preserve">square of the </w:t>
      </w:r>
      <w:r>
        <w:rPr>
          <w:rFonts w:ascii="Calibri" w:eastAsia="바탕" w:hAnsi="Calibri" w:cs="Calibri"/>
          <w:sz w:val="22"/>
        </w:rPr>
        <w:t xml:space="preserve">product of </w:t>
      </w:r>
      <w:r w:rsidR="005B6ABD">
        <w:rPr>
          <w:rFonts w:ascii="Calibri" w:eastAsia="바탕" w:hAnsi="Calibri" w:cs="Calibri"/>
          <w:sz w:val="22"/>
        </w:rPr>
        <w:t xml:space="preserve">the distance between </w:t>
      </w:r>
      <w:proofErr w:type="spellStart"/>
      <w:proofErr w:type="gramStart"/>
      <w:r w:rsidR="005B6ABD">
        <w:rPr>
          <w:rFonts w:ascii="Calibri" w:eastAsia="바탕" w:hAnsi="Calibri" w:cs="Calibri"/>
          <w:sz w:val="22"/>
        </w:rPr>
        <w:t>Tx</w:t>
      </w:r>
      <w:proofErr w:type="spellEnd"/>
      <w:proofErr w:type="gramEnd"/>
      <w:r w:rsidR="005B6ABD">
        <w:rPr>
          <w:rFonts w:ascii="Calibri" w:eastAsia="바탕" w:hAnsi="Calibri" w:cs="Calibri"/>
          <w:sz w:val="22"/>
        </w:rPr>
        <w:t xml:space="preserve"> entity and the target object (</w:t>
      </w:r>
      <w:proofErr w:type="spellStart"/>
      <w:r w:rsidR="005B6ABD">
        <w:rPr>
          <w:rFonts w:ascii="Calibri" w:eastAsia="바탕" w:hAnsi="Calibri" w:cs="Calibri"/>
          <w:sz w:val="22"/>
        </w:rPr>
        <w:t>D</w:t>
      </w:r>
      <w:r w:rsidR="005B6ABD" w:rsidRPr="005B6ABD">
        <w:rPr>
          <w:rFonts w:ascii="Calibri" w:eastAsia="바탕" w:hAnsi="Calibri" w:cs="Calibri"/>
          <w:sz w:val="22"/>
          <w:vertAlign w:val="subscript"/>
        </w:rPr>
        <w:t>tx-obj</w:t>
      </w:r>
      <w:proofErr w:type="spellEnd"/>
      <w:r w:rsidR="005B6ABD">
        <w:rPr>
          <w:rFonts w:ascii="Calibri" w:eastAsia="바탕" w:hAnsi="Calibri" w:cs="Calibri"/>
          <w:sz w:val="22"/>
        </w:rPr>
        <w:t>), and the distance between the target object and Rx entity (</w:t>
      </w:r>
      <w:proofErr w:type="spellStart"/>
      <w:r w:rsidR="005B6ABD">
        <w:rPr>
          <w:rFonts w:ascii="Calibri" w:eastAsia="바탕" w:hAnsi="Calibri" w:cs="Calibri"/>
          <w:sz w:val="22"/>
        </w:rPr>
        <w:t>D</w:t>
      </w:r>
      <w:r w:rsidR="005B6ABD" w:rsidRPr="005B6ABD">
        <w:rPr>
          <w:rFonts w:ascii="Calibri" w:eastAsia="바탕" w:hAnsi="Calibri" w:cs="Calibri"/>
          <w:sz w:val="22"/>
          <w:vertAlign w:val="subscript"/>
        </w:rPr>
        <w:t>obj</w:t>
      </w:r>
      <w:r w:rsidR="005B6ABD">
        <w:rPr>
          <w:rFonts w:ascii="Calibri" w:eastAsia="바탕" w:hAnsi="Calibri" w:cs="Calibri"/>
          <w:sz w:val="22"/>
          <w:vertAlign w:val="subscript"/>
        </w:rPr>
        <w:t>-rx</w:t>
      </w:r>
      <w:proofErr w:type="spellEnd"/>
      <w:r w:rsidR="005B6ABD">
        <w:rPr>
          <w:rFonts w:ascii="Calibri" w:eastAsia="바탕" w:hAnsi="Calibri" w:cs="Calibri"/>
          <w:sz w:val="22"/>
        </w:rPr>
        <w:t>).</w:t>
      </w:r>
    </w:p>
    <w:p w:rsidR="005B6ABD" w:rsidRDefault="00355E00" w:rsidP="005B6ABD">
      <w:pPr>
        <w:wordWrap/>
        <w:adjustRightInd w:val="0"/>
        <w:snapToGrid w:val="0"/>
        <w:spacing w:before="100" w:beforeAutospacing="1" w:afterLines="50" w:after="120" w:line="264" w:lineRule="auto"/>
        <w:ind w:firstLine="425"/>
        <w:rPr>
          <w:rFonts w:ascii="Calibri" w:eastAsia="바탕" w:hAnsi="Calibri" w:cs="Calibri"/>
          <w:sz w:val="22"/>
        </w:rPr>
      </w:pPr>
      <m:oMathPara>
        <m:oMath>
          <m:sSub>
            <m:sSubPr>
              <m:ctrlPr>
                <w:rPr>
                  <w:rFonts w:ascii="Cambria Math" w:eastAsia="바탕" w:hAnsi="Cambria Math" w:cs="Calibri"/>
                  <w:sz w:val="22"/>
                </w:rPr>
              </m:ctrlPr>
            </m:sSubPr>
            <m:e>
              <m:r>
                <w:rPr>
                  <w:rFonts w:ascii="Cambria Math" w:eastAsia="바탕" w:hAnsi="Cambria Math" w:cs="Calibri"/>
                  <w:sz w:val="22"/>
                </w:rPr>
                <m:t>Pathloss</m:t>
              </m:r>
            </m:e>
            <m:sub>
              <m:r>
                <w:rPr>
                  <w:rFonts w:ascii="Cambria Math" w:eastAsia="바탕" w:hAnsi="Cambria Math" w:cs="Calibri"/>
                  <w:sz w:val="22"/>
                </w:rPr>
                <m:t>bistatic</m:t>
              </m:r>
            </m:sub>
          </m:sSub>
          <m:r>
            <w:rPr>
              <w:rFonts w:ascii="Cambria Math" w:eastAsia="바탕" w:hAnsi="Cambria Math" w:cs="Calibri"/>
              <w:sz w:val="22"/>
            </w:rPr>
            <m:t>∝</m:t>
          </m:r>
          <m:sSup>
            <m:sSupPr>
              <m:ctrlPr>
                <w:rPr>
                  <w:rFonts w:ascii="Cambria Math" w:eastAsia="바탕" w:hAnsi="Cambria Math" w:cs="Calibri"/>
                  <w:i/>
                  <w:sz w:val="22"/>
                </w:rPr>
              </m:ctrlPr>
            </m:sSupPr>
            <m:e>
              <m:d>
                <m:dPr>
                  <m:ctrlPr>
                    <w:rPr>
                      <w:rFonts w:ascii="Cambria Math" w:eastAsia="바탕" w:hAnsi="Cambria Math" w:cs="Calibri"/>
                      <w:i/>
                      <w:sz w:val="22"/>
                    </w:rPr>
                  </m:ctrlPr>
                </m:dPr>
                <m:e>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tx-obj</m:t>
                      </m:r>
                    </m:sub>
                  </m:sSub>
                  <m:r>
                    <w:rPr>
                      <w:rFonts w:ascii="Cambria Math" w:eastAsia="바탕" w:hAnsi="Cambria Math" w:cs="Calibri"/>
                      <w:sz w:val="22"/>
                    </w:rPr>
                    <m:t>∙</m:t>
                  </m:r>
                  <m:sSub>
                    <m:sSubPr>
                      <m:ctrlPr>
                        <w:rPr>
                          <w:rFonts w:ascii="Cambria Math" w:eastAsia="바탕" w:hAnsi="Cambria Math" w:cs="Calibri"/>
                          <w:i/>
                          <w:sz w:val="22"/>
                        </w:rPr>
                      </m:ctrlPr>
                    </m:sSubPr>
                    <m:e>
                      <m:r>
                        <w:rPr>
                          <w:rFonts w:ascii="Cambria Math" w:eastAsia="바탕" w:hAnsi="Cambria Math" w:cs="Calibri"/>
                          <w:sz w:val="22"/>
                        </w:rPr>
                        <m:t>D</m:t>
                      </m:r>
                    </m:e>
                    <m:sub>
                      <m:r>
                        <w:rPr>
                          <w:rFonts w:ascii="Cambria Math" w:eastAsia="바탕" w:hAnsi="Cambria Math" w:cs="Calibri"/>
                          <w:sz w:val="22"/>
                        </w:rPr>
                        <m:t>obj-rx</m:t>
                      </m:r>
                    </m:sub>
                  </m:sSub>
                </m:e>
              </m:d>
            </m:e>
            <m:sup>
              <m:r>
                <w:rPr>
                  <w:rFonts w:ascii="Cambria Math" w:eastAsia="바탕" w:hAnsi="Cambria Math" w:cs="Calibri"/>
                  <w:sz w:val="22"/>
                </w:rPr>
                <m:t>2</m:t>
              </m:r>
            </m:sup>
          </m:sSup>
        </m:oMath>
      </m:oMathPara>
    </w:p>
    <w:p w:rsidR="005B6ABD" w:rsidRDefault="006727D7" w:rsidP="005B6ABD">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 xml:space="preserve">Different from the </w:t>
      </w:r>
      <w:proofErr w:type="spellStart"/>
      <w:r>
        <w:rPr>
          <w:rFonts w:ascii="Calibri" w:eastAsia="바탕" w:hAnsi="Calibri" w:cs="Calibri"/>
          <w:sz w:val="22"/>
        </w:rPr>
        <w:t>monostatic</w:t>
      </w:r>
      <w:proofErr w:type="spellEnd"/>
      <w:r w:rsidR="005B6ABD">
        <w:rPr>
          <w:rFonts w:ascii="Calibri" w:eastAsia="바탕" w:hAnsi="Calibri" w:cs="Calibri"/>
          <w:sz w:val="22"/>
        </w:rPr>
        <w:t xml:space="preserve"> sensing case, the sufficient received signal power for object detection can be obtained even at the edge of the network coverage</w:t>
      </w:r>
      <w:r>
        <w:rPr>
          <w:rFonts w:ascii="Calibri" w:eastAsia="바탕" w:hAnsi="Calibri" w:cs="Calibri"/>
          <w:sz w:val="22"/>
        </w:rPr>
        <w:t xml:space="preserve"> in </w:t>
      </w:r>
      <w:proofErr w:type="spellStart"/>
      <w:r>
        <w:rPr>
          <w:rFonts w:ascii="Calibri" w:eastAsia="바탕" w:hAnsi="Calibri" w:cs="Calibri"/>
          <w:sz w:val="22"/>
        </w:rPr>
        <w:t>bistatic</w:t>
      </w:r>
      <w:proofErr w:type="spellEnd"/>
      <w:r>
        <w:rPr>
          <w:rFonts w:ascii="Calibri" w:eastAsia="바탕" w:hAnsi="Calibri" w:cs="Calibri"/>
          <w:sz w:val="22"/>
        </w:rPr>
        <w:t xml:space="preserve"> sensing</w:t>
      </w:r>
      <w:r w:rsidR="005B6ABD">
        <w:rPr>
          <w:rFonts w:ascii="Calibri" w:eastAsia="바탕" w:hAnsi="Calibri" w:cs="Calibri"/>
          <w:sz w:val="22"/>
        </w:rPr>
        <w:t>. For example, if Rx entity is near the target object</w:t>
      </w:r>
      <w:r w:rsidR="00E65ABB">
        <w:rPr>
          <w:rFonts w:ascii="Calibri" w:eastAsia="바탕" w:hAnsi="Calibri" w:cs="Calibri"/>
          <w:sz w:val="22"/>
        </w:rPr>
        <w:t xml:space="preserve"> (</w:t>
      </w:r>
      <w:proofErr w:type="spellStart"/>
      <w:r w:rsidR="00E65ABB">
        <w:rPr>
          <w:rFonts w:ascii="Calibri" w:eastAsia="바탕" w:hAnsi="Calibri" w:cs="Calibri"/>
          <w:sz w:val="22"/>
        </w:rPr>
        <w:t>D</w:t>
      </w:r>
      <w:r w:rsidR="00E65ABB" w:rsidRPr="005B6ABD">
        <w:rPr>
          <w:rFonts w:ascii="Calibri" w:eastAsia="바탕" w:hAnsi="Calibri" w:cs="Calibri"/>
          <w:sz w:val="22"/>
          <w:vertAlign w:val="subscript"/>
        </w:rPr>
        <w:t>tx-obj</w:t>
      </w:r>
      <w:proofErr w:type="spellEnd"/>
      <w:r w:rsidR="00E65ABB">
        <w:rPr>
          <w:rFonts w:ascii="Calibri" w:eastAsia="바탕" w:hAnsi="Calibri" w:cs="Calibri"/>
          <w:sz w:val="22"/>
        </w:rPr>
        <w:t xml:space="preserve"> &gt;&gt;</w:t>
      </w:r>
      <w:r w:rsidR="00E65ABB" w:rsidRPr="00E65ABB">
        <w:rPr>
          <w:rFonts w:ascii="Calibri" w:eastAsia="바탕" w:hAnsi="Calibri" w:cs="Calibri"/>
          <w:sz w:val="22"/>
        </w:rPr>
        <w:t xml:space="preserve"> </w:t>
      </w:r>
      <w:proofErr w:type="spellStart"/>
      <w:r w:rsidR="00E65ABB">
        <w:rPr>
          <w:rFonts w:ascii="Calibri" w:eastAsia="바탕" w:hAnsi="Calibri" w:cs="Calibri"/>
          <w:sz w:val="22"/>
        </w:rPr>
        <w:t>D</w:t>
      </w:r>
      <w:r w:rsidR="00E65ABB" w:rsidRPr="005B6ABD">
        <w:rPr>
          <w:rFonts w:ascii="Calibri" w:eastAsia="바탕" w:hAnsi="Calibri" w:cs="Calibri"/>
          <w:sz w:val="22"/>
          <w:vertAlign w:val="subscript"/>
        </w:rPr>
        <w:t>obj</w:t>
      </w:r>
      <w:r w:rsidR="00E65ABB">
        <w:rPr>
          <w:rFonts w:ascii="Calibri" w:eastAsia="바탕" w:hAnsi="Calibri" w:cs="Calibri"/>
          <w:sz w:val="22"/>
          <w:vertAlign w:val="subscript"/>
        </w:rPr>
        <w:t>-rx</w:t>
      </w:r>
      <w:proofErr w:type="spellEnd"/>
      <w:r w:rsidR="00E65ABB">
        <w:rPr>
          <w:rFonts w:ascii="Calibri" w:eastAsia="바탕" w:hAnsi="Calibri" w:cs="Calibri"/>
          <w:sz w:val="22"/>
        </w:rPr>
        <w:t>)</w:t>
      </w:r>
      <w:r w:rsidR="005B6ABD">
        <w:rPr>
          <w:rFonts w:ascii="Calibri" w:eastAsia="바탕" w:hAnsi="Calibri" w:cs="Calibri"/>
          <w:sz w:val="22"/>
        </w:rPr>
        <w:t xml:space="preserve">, </w:t>
      </w:r>
      <w:r w:rsidR="00E65ABB">
        <w:rPr>
          <w:rFonts w:ascii="Calibri" w:eastAsia="바탕" w:hAnsi="Calibri" w:cs="Calibri"/>
          <w:sz w:val="22"/>
        </w:rPr>
        <w:t xml:space="preserve">the </w:t>
      </w:r>
      <w:proofErr w:type="spellStart"/>
      <w:r w:rsidR="001C0D87">
        <w:rPr>
          <w:rFonts w:ascii="Calibri" w:eastAsia="바탕" w:hAnsi="Calibri" w:cs="Calibri"/>
          <w:sz w:val="22"/>
        </w:rPr>
        <w:t>pathloss</w:t>
      </w:r>
      <w:proofErr w:type="spellEnd"/>
      <w:r w:rsidR="00E65ABB">
        <w:rPr>
          <w:rFonts w:ascii="Calibri" w:eastAsia="바탕" w:hAnsi="Calibri" w:cs="Calibri"/>
          <w:sz w:val="22"/>
        </w:rPr>
        <w:t xml:space="preserve"> </w:t>
      </w:r>
      <w:r w:rsidR="001C0D87">
        <w:rPr>
          <w:rFonts w:ascii="Calibri" w:eastAsia="바탕" w:hAnsi="Calibri" w:cs="Calibri"/>
          <w:sz w:val="22"/>
        </w:rPr>
        <w:t>is almost</w:t>
      </w:r>
      <w:r w:rsidR="00E65ABB">
        <w:rPr>
          <w:rFonts w:ascii="Calibri" w:eastAsia="바탕" w:hAnsi="Calibri" w:cs="Calibri"/>
          <w:sz w:val="22"/>
        </w:rPr>
        <w:t xml:space="preserve"> proportional </w:t>
      </w:r>
      <w:r w:rsidR="00F478E5">
        <w:rPr>
          <w:rFonts w:ascii="Calibri" w:eastAsia="바탕" w:hAnsi="Calibri" w:cs="Calibri"/>
          <w:sz w:val="22"/>
        </w:rPr>
        <w:t xml:space="preserve">only </w:t>
      </w:r>
      <w:r w:rsidR="00E65ABB">
        <w:rPr>
          <w:rFonts w:ascii="Calibri" w:eastAsia="바탕" w:hAnsi="Calibri" w:cs="Calibri"/>
          <w:sz w:val="22"/>
        </w:rPr>
        <w:t>to</w:t>
      </w:r>
      <w:r w:rsidR="00F478E5">
        <w:rPr>
          <w:rFonts w:ascii="Calibri" w:eastAsia="바탕" w:hAnsi="Calibri" w:cs="Calibri"/>
          <w:sz w:val="22"/>
        </w:rPr>
        <w:t xml:space="preserve"> the square of</w:t>
      </w:r>
      <w:r w:rsidR="00E65ABB">
        <w:rPr>
          <w:rFonts w:ascii="Calibri" w:eastAsia="바탕" w:hAnsi="Calibri" w:cs="Calibri"/>
          <w:sz w:val="22"/>
        </w:rPr>
        <w:t xml:space="preserve"> </w:t>
      </w:r>
      <w:proofErr w:type="spellStart"/>
      <w:r w:rsidR="00E65ABB">
        <w:rPr>
          <w:rFonts w:ascii="Calibri" w:eastAsia="바탕" w:hAnsi="Calibri" w:cs="Calibri"/>
          <w:sz w:val="22"/>
        </w:rPr>
        <w:t>D</w:t>
      </w:r>
      <w:r w:rsidR="00E65ABB" w:rsidRPr="005B6ABD">
        <w:rPr>
          <w:rFonts w:ascii="Calibri" w:eastAsia="바탕" w:hAnsi="Calibri" w:cs="Calibri"/>
          <w:sz w:val="22"/>
          <w:vertAlign w:val="subscript"/>
        </w:rPr>
        <w:t>tx</w:t>
      </w:r>
      <w:proofErr w:type="spellEnd"/>
      <w:r w:rsidR="00E65ABB" w:rsidRPr="005B6ABD">
        <w:rPr>
          <w:rFonts w:ascii="Calibri" w:eastAsia="바탕" w:hAnsi="Calibri" w:cs="Calibri"/>
          <w:sz w:val="22"/>
          <w:vertAlign w:val="subscript"/>
        </w:rPr>
        <w:t>-obj</w:t>
      </w:r>
      <w:r w:rsidR="00E65ABB">
        <w:rPr>
          <w:rFonts w:ascii="Calibri" w:eastAsia="바탕" w:hAnsi="Calibri" w:cs="Calibri"/>
          <w:sz w:val="22"/>
        </w:rPr>
        <w:t>.</w:t>
      </w:r>
      <w:r>
        <w:rPr>
          <w:rFonts w:ascii="Calibri" w:eastAsia="바탕" w:hAnsi="Calibri" w:cs="Calibri"/>
          <w:sz w:val="22"/>
        </w:rPr>
        <w:t xml:space="preserve"> This means that the </w:t>
      </w:r>
      <w:proofErr w:type="spellStart"/>
      <w:r>
        <w:rPr>
          <w:rFonts w:ascii="Calibri" w:eastAsia="바탕" w:hAnsi="Calibri" w:cs="Calibri"/>
          <w:sz w:val="22"/>
        </w:rPr>
        <w:t>bistatic</w:t>
      </w:r>
      <w:proofErr w:type="spellEnd"/>
      <w:r>
        <w:rPr>
          <w:rFonts w:ascii="Calibri" w:eastAsia="바탕" w:hAnsi="Calibri" w:cs="Calibri"/>
          <w:sz w:val="22"/>
        </w:rPr>
        <w:t xml:space="preserve"> sensing can provide </w:t>
      </w:r>
      <w:r w:rsidR="001C0D87">
        <w:rPr>
          <w:rFonts w:ascii="Calibri" w:eastAsia="바탕" w:hAnsi="Calibri" w:cs="Calibri"/>
          <w:sz w:val="22"/>
        </w:rPr>
        <w:t>a comparable</w:t>
      </w:r>
      <w:r>
        <w:rPr>
          <w:rFonts w:ascii="Calibri" w:eastAsia="바탕" w:hAnsi="Calibri" w:cs="Calibri"/>
          <w:sz w:val="22"/>
        </w:rPr>
        <w:t xml:space="preserve"> coverage as the communication.</w:t>
      </w:r>
    </w:p>
    <w:p w:rsidR="00BE69ED" w:rsidRDefault="00BE69ED" w:rsidP="00BE69ED">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7C82D781" wp14:editId="42927DC7">
            <wp:extent cx="3682800" cy="1368000"/>
            <wp:effectExtent l="0" t="0" r="0" b="381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2800" cy="1368000"/>
                    </a:xfrm>
                    <a:prstGeom prst="rect">
                      <a:avLst/>
                    </a:prstGeom>
                    <a:noFill/>
                  </pic:spPr>
                </pic:pic>
              </a:graphicData>
            </a:graphic>
          </wp:inline>
        </w:drawing>
      </w:r>
    </w:p>
    <w:p w:rsidR="00BE69ED" w:rsidRDefault="00BE69ED" w:rsidP="00BE69ED">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sidR="00B34B2A">
        <w:rPr>
          <w:noProof/>
        </w:rPr>
        <w:t>2</w:t>
      </w:r>
      <w:r>
        <w:fldChar w:fldCharType="end"/>
      </w:r>
      <w:r>
        <w:t xml:space="preserve"> </w:t>
      </w:r>
      <w:proofErr w:type="spellStart"/>
      <w:r>
        <w:t>Bistatic</w:t>
      </w:r>
      <w:proofErr w:type="spellEnd"/>
      <w:r>
        <w:t xml:space="preserve"> sensing coverage</w:t>
      </w:r>
    </w:p>
    <w:p w:rsidR="005B6ABD" w:rsidRDefault="001C0D87" w:rsidP="009C7D4B">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 xml:space="preserve">Considering the analysis above, if the sensing is combined with the communication, </w:t>
      </w:r>
      <w:r>
        <w:rPr>
          <w:rFonts w:ascii="Calibri" w:eastAsia="바탕" w:hAnsi="Calibri" w:cs="Calibri"/>
          <w:sz w:val="22"/>
        </w:rPr>
        <w:t xml:space="preserve">the </w:t>
      </w:r>
      <w:proofErr w:type="spellStart"/>
      <w:r>
        <w:rPr>
          <w:rFonts w:ascii="Calibri" w:eastAsia="바탕" w:hAnsi="Calibri" w:cs="Calibri" w:hint="eastAsia"/>
          <w:sz w:val="22"/>
        </w:rPr>
        <w:t>bistatic</w:t>
      </w:r>
      <w:proofErr w:type="spellEnd"/>
      <w:r>
        <w:rPr>
          <w:rFonts w:ascii="Calibri" w:eastAsia="바탕" w:hAnsi="Calibri" w:cs="Calibri" w:hint="eastAsia"/>
          <w:sz w:val="22"/>
        </w:rPr>
        <w:t xml:space="preserve"> sensing</w:t>
      </w:r>
      <w:r>
        <w:rPr>
          <w:rFonts w:ascii="Calibri" w:eastAsia="바탕" w:hAnsi="Calibri" w:cs="Calibri"/>
          <w:sz w:val="22"/>
        </w:rPr>
        <w:t xml:space="preserve"> is more beneficial in that the single ISAC signal</w:t>
      </w:r>
      <w:r>
        <w:rPr>
          <w:rFonts w:ascii="Calibri" w:eastAsia="바탕" w:hAnsi="Calibri" w:cs="Calibri" w:hint="eastAsia"/>
          <w:sz w:val="22"/>
        </w:rPr>
        <w:t xml:space="preserve"> can provide the same coverage </w:t>
      </w:r>
      <w:r>
        <w:rPr>
          <w:rFonts w:ascii="Calibri" w:eastAsia="바탕" w:hAnsi="Calibri" w:cs="Calibri"/>
          <w:sz w:val="22"/>
        </w:rPr>
        <w:t>for both sensing and</w:t>
      </w:r>
      <w:r>
        <w:rPr>
          <w:rFonts w:ascii="Calibri" w:eastAsia="바탕" w:hAnsi="Calibri" w:cs="Calibri" w:hint="eastAsia"/>
          <w:sz w:val="22"/>
        </w:rPr>
        <w:t xml:space="preserve"> communication</w:t>
      </w:r>
      <w:r>
        <w:rPr>
          <w:rFonts w:ascii="Calibri" w:eastAsia="바탕" w:hAnsi="Calibri" w:cs="Calibri"/>
          <w:sz w:val="22"/>
        </w:rPr>
        <w:t>.</w:t>
      </w:r>
    </w:p>
    <w:p w:rsidR="007D7BD1" w:rsidRDefault="00BD1352" w:rsidP="007D7B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1</w:t>
      </w:r>
      <w:r w:rsidR="007D7BD1" w:rsidRPr="00FC3A33">
        <w:rPr>
          <w:rFonts w:ascii="Calibri" w:eastAsia="바탕" w:hAnsi="Calibri" w:cs="Calibri"/>
          <w:b/>
          <w:i/>
          <w:sz w:val="22"/>
        </w:rPr>
        <w:t>:</w:t>
      </w:r>
      <w:r w:rsidR="007D7BD1" w:rsidRPr="00FC3A33">
        <w:rPr>
          <w:rFonts w:ascii="Calibri" w:eastAsia="바탕" w:hAnsi="Calibri" w:cs="Calibri"/>
          <w:i/>
          <w:sz w:val="22"/>
        </w:rPr>
        <w:t xml:space="preserve">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w:t>
      </w:r>
      <w:r w:rsidR="003A42D1">
        <w:rPr>
          <w:rFonts w:ascii="Calibri" w:eastAsia="바탕" w:hAnsi="Calibri" w:cs="Calibri"/>
          <w:i/>
          <w:sz w:val="22"/>
        </w:rPr>
        <w:t xml:space="preserve"> </w:t>
      </w:r>
      <w:r w:rsidR="001C0D87">
        <w:rPr>
          <w:rFonts w:ascii="Calibri" w:eastAsia="바탕" w:hAnsi="Calibri" w:cs="Calibri"/>
          <w:i/>
          <w:sz w:val="22"/>
        </w:rPr>
        <w:t>can provide almost same coverage as communication,</w:t>
      </w:r>
      <w:r>
        <w:rPr>
          <w:rFonts w:ascii="Calibri" w:eastAsia="바탕" w:hAnsi="Calibri" w:cs="Calibri"/>
          <w:i/>
          <w:sz w:val="22"/>
        </w:rPr>
        <w:t xml:space="preserve"> </w:t>
      </w:r>
      <w:r w:rsidR="001C0D87">
        <w:rPr>
          <w:rFonts w:ascii="Calibri" w:eastAsia="바탕" w:hAnsi="Calibri" w:cs="Calibri"/>
          <w:i/>
          <w:sz w:val="22"/>
        </w:rPr>
        <w:t>whereas the</w:t>
      </w:r>
      <w:r>
        <w:rPr>
          <w:rFonts w:ascii="Calibri" w:eastAsia="바탕" w:hAnsi="Calibri" w:cs="Calibri"/>
          <w:i/>
          <w:sz w:val="22"/>
        </w:rPr>
        <w:t xml:space="preserve"> </w:t>
      </w:r>
      <w:proofErr w:type="spellStart"/>
      <w:r>
        <w:rPr>
          <w:rFonts w:ascii="Calibri" w:eastAsia="바탕" w:hAnsi="Calibri" w:cs="Calibri"/>
          <w:i/>
          <w:sz w:val="22"/>
        </w:rPr>
        <w:t>monostatic</w:t>
      </w:r>
      <w:proofErr w:type="spellEnd"/>
      <w:r>
        <w:rPr>
          <w:rFonts w:ascii="Calibri" w:eastAsia="바탕" w:hAnsi="Calibri" w:cs="Calibri"/>
          <w:i/>
          <w:sz w:val="22"/>
        </w:rPr>
        <w:t xml:space="preserve"> sensing</w:t>
      </w:r>
      <w:r w:rsidR="003A42D1">
        <w:rPr>
          <w:rFonts w:ascii="Calibri" w:eastAsia="바탕" w:hAnsi="Calibri" w:cs="Calibri"/>
          <w:i/>
          <w:sz w:val="22"/>
        </w:rPr>
        <w:t xml:space="preserve"> </w:t>
      </w:r>
      <w:r w:rsidR="001C0D87">
        <w:rPr>
          <w:rFonts w:ascii="Calibri" w:eastAsia="바탕" w:hAnsi="Calibri" w:cs="Calibri"/>
          <w:i/>
          <w:sz w:val="22"/>
        </w:rPr>
        <w:t>provides much smaller coverage than communication</w:t>
      </w:r>
      <w:r>
        <w:rPr>
          <w:rFonts w:ascii="Calibri" w:eastAsia="바탕" w:hAnsi="Calibri" w:cs="Calibri"/>
          <w:i/>
          <w:sz w:val="22"/>
        </w:rPr>
        <w:t>.</w:t>
      </w:r>
    </w:p>
    <w:p w:rsidR="00C77B26" w:rsidRDefault="00C77B26"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Similar to the </w:t>
      </w:r>
      <w:proofErr w:type="spellStart"/>
      <w:r>
        <w:rPr>
          <w:rFonts w:ascii="Calibri" w:eastAsia="바탕" w:hAnsi="Calibri" w:cs="Calibri"/>
          <w:sz w:val="22"/>
        </w:rPr>
        <w:t>monostatic</w:t>
      </w:r>
      <w:proofErr w:type="spellEnd"/>
      <w:r>
        <w:rPr>
          <w:rFonts w:ascii="Calibri" w:eastAsia="바탕" w:hAnsi="Calibri" w:cs="Calibri"/>
          <w:sz w:val="22"/>
        </w:rPr>
        <w:t xml:space="preserve"> sensing case, unless two network </w:t>
      </w:r>
      <w:proofErr w:type="spellStart"/>
      <w:r>
        <w:rPr>
          <w:rFonts w:ascii="Calibri" w:eastAsia="바탕" w:hAnsi="Calibri" w:cs="Calibri"/>
          <w:sz w:val="22"/>
        </w:rPr>
        <w:t>coverages</w:t>
      </w:r>
      <w:proofErr w:type="spellEnd"/>
      <w:r>
        <w:rPr>
          <w:rFonts w:ascii="Calibri" w:eastAsia="바탕" w:hAnsi="Calibri" w:cs="Calibri"/>
          <w:sz w:val="22"/>
        </w:rPr>
        <w:t xml:space="preserve"> of the adjacent TPRs significantly overlap each other,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mode cannot provide the same coverage that is provided by each TRP. Usually those two adjacent network coverage</w:t>
      </w:r>
      <w:r w:rsidR="00C72BF0">
        <w:rPr>
          <w:rFonts w:ascii="Calibri" w:eastAsia="바탕" w:hAnsi="Calibri" w:cs="Calibri"/>
          <w:sz w:val="22"/>
        </w:rPr>
        <w:t xml:space="preserve"> area</w:t>
      </w:r>
      <w:r>
        <w:rPr>
          <w:rFonts w:ascii="Calibri" w:eastAsia="바탕" w:hAnsi="Calibri" w:cs="Calibri"/>
          <w:sz w:val="22"/>
        </w:rPr>
        <w:t>s do not overlap that much so as to avoid the inter-cell interference. On the contrary, the coverage of the signal transmitted by UE may overlap depending on the distance between the adjacent UEs.</w:t>
      </w:r>
    </w:p>
    <w:p w:rsidR="009D65E2" w:rsidRDefault="009D65E2" w:rsidP="00C77B2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Another issue of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is that the probability of the presence of LOS path between two TRPs and the target object is lower than a single TRP case. With this reason, it seems not feasible to use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compared to TRP-UE or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for example.</w:t>
      </w:r>
    </w:p>
    <w:p w:rsidR="00B34B2A" w:rsidRDefault="00B34B2A" w:rsidP="00B34B2A">
      <w:pPr>
        <w:keepNext/>
        <w:wordWrap/>
        <w:adjustRightInd w:val="0"/>
        <w:snapToGrid w:val="0"/>
        <w:spacing w:before="100" w:beforeAutospacing="1" w:afterLines="50" w:after="120" w:line="264" w:lineRule="auto"/>
      </w:pPr>
      <w:r>
        <w:rPr>
          <w:rFonts w:ascii="Calibri" w:eastAsia="바탕" w:hAnsi="Calibri" w:cs="Calibri"/>
          <w:noProof/>
          <w:sz w:val="22"/>
        </w:rPr>
        <w:lastRenderedPageBreak/>
        <w:drawing>
          <wp:inline distT="0" distB="0" distL="0" distR="0" wp14:anchorId="17895091" wp14:editId="09E499E1">
            <wp:extent cx="5942257" cy="1104595"/>
            <wp:effectExtent l="0" t="0" r="1905"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13402" cy="111782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3</w:t>
      </w:r>
      <w:r>
        <w:fldChar w:fldCharType="end"/>
      </w:r>
      <w:r>
        <w:t xml:space="preserve"> TRP-TRP </w:t>
      </w:r>
      <w:proofErr w:type="spellStart"/>
      <w:r>
        <w:t>bistatic</w:t>
      </w:r>
      <w:proofErr w:type="spellEnd"/>
      <w:r>
        <w:t xml:space="preserve"> sensing for terrestrial object detection</w:t>
      </w:r>
    </w:p>
    <w:p w:rsidR="009D65E2" w:rsidRDefault="009D65E2" w:rsidP="009D65E2">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suffer both significant </w:t>
      </w:r>
      <w:proofErr w:type="spellStart"/>
      <w:r>
        <w:rPr>
          <w:rFonts w:ascii="Calibri" w:eastAsia="바탕" w:hAnsi="Calibri" w:cs="Calibri"/>
          <w:i/>
          <w:sz w:val="22"/>
        </w:rPr>
        <w:t>pathloss</w:t>
      </w:r>
      <w:proofErr w:type="spellEnd"/>
      <w:r>
        <w:rPr>
          <w:rFonts w:ascii="Calibri" w:eastAsia="바탕" w:hAnsi="Calibri" w:cs="Calibri"/>
          <w:i/>
          <w:sz w:val="22"/>
        </w:rPr>
        <w:t xml:space="preserve"> due to the distance and limited service availability due to the absence of LOS to/from the object.</w:t>
      </w:r>
    </w:p>
    <w:p w:rsidR="00036196" w:rsidRDefault="003B7618" w:rsidP="000361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Considering the sensing service availability, the sensing service needs to be provided to all the possible coverage cases – inside, outside and partial network coverage case. Although TRP will work as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or Rx sensing entity in the network coverage area, TRP is not available in the outside-of-the network coverage area. In OOC case, the only sensing solution will be UE-UE </w:t>
      </w:r>
      <w:proofErr w:type="spellStart"/>
      <w:r>
        <w:rPr>
          <w:rFonts w:ascii="Calibri" w:eastAsia="바탕" w:hAnsi="Calibri" w:cs="Calibri"/>
          <w:sz w:val="22"/>
        </w:rPr>
        <w:t>bistatic</w:t>
      </w:r>
      <w:proofErr w:type="spellEnd"/>
      <w:r>
        <w:rPr>
          <w:rFonts w:ascii="Calibri" w:eastAsia="바탕" w:hAnsi="Calibri" w:cs="Calibri"/>
          <w:sz w:val="22"/>
        </w:rPr>
        <w:t xml:space="preserve"> or UE </w:t>
      </w:r>
      <w:proofErr w:type="spellStart"/>
      <w:r>
        <w:rPr>
          <w:rFonts w:ascii="Calibri" w:eastAsia="바탕" w:hAnsi="Calibri" w:cs="Calibri"/>
          <w:sz w:val="22"/>
        </w:rPr>
        <w:t>monostatic</w:t>
      </w:r>
      <w:proofErr w:type="spellEnd"/>
      <w:r>
        <w:rPr>
          <w:rFonts w:ascii="Calibri" w:eastAsia="바탕" w:hAnsi="Calibri" w:cs="Calibri"/>
          <w:sz w:val="22"/>
        </w:rPr>
        <w:t xml:space="preserve"> sensing. As commented above, the coverage of the signal transmitted by UE may overlap depending on the distance between the adjacent UEs. So </w:t>
      </w:r>
      <w:r w:rsidR="00C946BD">
        <w:rPr>
          <w:rFonts w:ascii="Calibri" w:eastAsia="바탕" w:hAnsi="Calibri" w:cs="Calibri"/>
          <w:sz w:val="22"/>
        </w:rPr>
        <w:t xml:space="preserve">at least for the out-of-network coverage, UE-UE </w:t>
      </w:r>
      <w:proofErr w:type="spellStart"/>
      <w:r w:rsidR="00C946BD">
        <w:rPr>
          <w:rFonts w:ascii="Calibri" w:eastAsia="바탕" w:hAnsi="Calibri" w:cs="Calibri"/>
          <w:sz w:val="22"/>
        </w:rPr>
        <w:t>bistatic</w:t>
      </w:r>
      <w:proofErr w:type="spellEnd"/>
      <w:r w:rsidR="00C946BD">
        <w:rPr>
          <w:rFonts w:ascii="Calibri" w:eastAsia="바탕" w:hAnsi="Calibri" w:cs="Calibri"/>
          <w:sz w:val="22"/>
        </w:rPr>
        <w:t xml:space="preserve"> and UE </w:t>
      </w:r>
      <w:proofErr w:type="spellStart"/>
      <w:r w:rsidR="00C946BD">
        <w:rPr>
          <w:rFonts w:ascii="Calibri" w:eastAsia="바탕" w:hAnsi="Calibri" w:cs="Calibri"/>
          <w:sz w:val="22"/>
        </w:rPr>
        <w:t>monostatic</w:t>
      </w:r>
      <w:proofErr w:type="spellEnd"/>
      <w:r w:rsidR="00C946BD">
        <w:rPr>
          <w:rFonts w:ascii="Calibri" w:eastAsia="바탕" w:hAnsi="Calibri" w:cs="Calibri"/>
          <w:sz w:val="22"/>
        </w:rPr>
        <w:t xml:space="preserve"> sensing mode needs to be included in the deployment scenario</w:t>
      </w:r>
      <w:r>
        <w:rPr>
          <w:rFonts w:ascii="Calibri" w:eastAsia="바탕" w:hAnsi="Calibri" w:cs="Calibri"/>
          <w:sz w:val="22"/>
        </w:rPr>
        <w:t>.</w:t>
      </w:r>
    </w:p>
    <w:p w:rsidR="003A42D1" w:rsidRDefault="003A42D1" w:rsidP="003A42D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UE-UE </w:t>
      </w:r>
      <w:proofErr w:type="spellStart"/>
      <w:r>
        <w:rPr>
          <w:rFonts w:ascii="Calibri" w:eastAsia="바탕" w:hAnsi="Calibri" w:cs="Calibri"/>
          <w:i/>
          <w:sz w:val="22"/>
        </w:rPr>
        <w:t>bistatic</w:t>
      </w:r>
      <w:proofErr w:type="spellEnd"/>
      <w:r>
        <w:rPr>
          <w:rFonts w:ascii="Calibri" w:eastAsia="바탕" w:hAnsi="Calibri" w:cs="Calibri"/>
          <w:i/>
          <w:sz w:val="22"/>
        </w:rPr>
        <w:t xml:space="preserve"> </w:t>
      </w:r>
      <w:r w:rsidR="003B7618">
        <w:rPr>
          <w:rFonts w:ascii="Calibri" w:eastAsia="바탕" w:hAnsi="Calibri" w:cs="Calibri"/>
          <w:i/>
          <w:sz w:val="22"/>
        </w:rPr>
        <w:t xml:space="preserve">or UE </w:t>
      </w:r>
      <w:proofErr w:type="spellStart"/>
      <w:r w:rsidR="003B7618">
        <w:rPr>
          <w:rFonts w:ascii="Calibri" w:eastAsia="바탕" w:hAnsi="Calibri" w:cs="Calibri"/>
          <w:i/>
          <w:sz w:val="22"/>
        </w:rPr>
        <w:t>monotstatic</w:t>
      </w:r>
      <w:proofErr w:type="spellEnd"/>
      <w:r w:rsidR="003B7618">
        <w:rPr>
          <w:rFonts w:ascii="Calibri" w:eastAsia="바탕" w:hAnsi="Calibri" w:cs="Calibri"/>
          <w:i/>
          <w:sz w:val="22"/>
        </w:rPr>
        <w:t xml:space="preserve"> </w:t>
      </w:r>
      <w:r>
        <w:rPr>
          <w:rFonts w:ascii="Calibri" w:eastAsia="바탕" w:hAnsi="Calibri" w:cs="Calibri"/>
          <w:i/>
          <w:sz w:val="22"/>
        </w:rPr>
        <w:t xml:space="preserve">sensing mode </w:t>
      </w:r>
      <w:r w:rsidR="001816BF">
        <w:rPr>
          <w:rFonts w:ascii="Calibri" w:eastAsia="바탕" w:hAnsi="Calibri" w:cs="Calibri"/>
          <w:i/>
          <w:sz w:val="22"/>
        </w:rPr>
        <w:t>are</w:t>
      </w:r>
      <w:r>
        <w:rPr>
          <w:rFonts w:ascii="Calibri" w:eastAsia="바탕" w:hAnsi="Calibri" w:cs="Calibri"/>
          <w:i/>
          <w:sz w:val="22"/>
        </w:rPr>
        <w:t xml:space="preserve"> the only sensing mode</w:t>
      </w:r>
      <w:r w:rsidR="001816BF">
        <w:rPr>
          <w:rFonts w:ascii="Calibri" w:eastAsia="바탕" w:hAnsi="Calibri" w:cs="Calibri"/>
          <w:i/>
          <w:sz w:val="22"/>
        </w:rPr>
        <w:t>s</w:t>
      </w:r>
      <w:r>
        <w:rPr>
          <w:rFonts w:ascii="Calibri" w:eastAsia="바탕" w:hAnsi="Calibri" w:cs="Calibri"/>
          <w:i/>
          <w:sz w:val="22"/>
        </w:rPr>
        <w:t xml:space="preserve"> that can provide the sensing service in the out-of-network-coverage area.</w:t>
      </w:r>
    </w:p>
    <w:p w:rsidR="001816BF"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One of the advantages that ISAC based sensing can provide compared to the traditional radar is the extended coverage of sensing service</w:t>
      </w:r>
      <w:r w:rsidR="001816BF">
        <w:rPr>
          <w:rFonts w:ascii="Calibri" w:eastAsia="바탕" w:hAnsi="Calibri" w:cs="Calibri"/>
          <w:sz w:val="22"/>
        </w:rPr>
        <w:t>.</w:t>
      </w:r>
      <w:r>
        <w:rPr>
          <w:rFonts w:ascii="Calibri" w:eastAsia="바탕" w:hAnsi="Calibri" w:cs="Calibri"/>
          <w:sz w:val="22"/>
        </w:rPr>
        <w:t xml:space="preserve"> For example, vehicle radar can detect an object within a limited range due to its transmission power constraint. If TRP is involved in sensing operation such as TRP-UE or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it can provide a wider sensing coverage area that is comparable to that of the communication service.</w:t>
      </w:r>
    </w:p>
    <w:p w:rsidR="005765F4" w:rsidRDefault="005765F4" w:rsidP="001816B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The sensing modes that involves TRP is thought to be more economically beneficial in that the existing well-configured communication infrastructure such as base station or TRP can be reused for the sensing purpose.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w:t>
      </w:r>
      <w:r w:rsidR="001816BF">
        <w:rPr>
          <w:rFonts w:ascii="Calibri" w:eastAsia="바탕" w:hAnsi="Calibri" w:cs="Calibri"/>
          <w:i/>
          <w:sz w:val="22"/>
        </w:rPr>
        <w:t>s</w:t>
      </w:r>
      <w:r>
        <w:rPr>
          <w:rFonts w:ascii="Calibri" w:eastAsia="바탕" w:hAnsi="Calibri" w:cs="Calibri"/>
          <w:i/>
          <w:sz w:val="22"/>
        </w:rPr>
        <w:t xml:space="preserve"> that involves TRP(s) may provide a larger sensing service area, compared to one that involves UE(s) only.</w:t>
      </w:r>
    </w:p>
    <w:p w:rsidR="004673B3" w:rsidRDefault="004673B3" w:rsidP="004673B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Unlike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that is not feasible at least for the terrestrial sensing use case, TRP-UE and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can provide the practical advantage. In the sensing coverage perspective, TRP can extend the sensing service </w:t>
      </w:r>
      <w:proofErr w:type="spellStart"/>
      <w:r>
        <w:rPr>
          <w:rFonts w:ascii="Calibri" w:eastAsia="바탕" w:hAnsi="Calibri" w:cs="Calibri"/>
          <w:sz w:val="22"/>
        </w:rPr>
        <w:t>coverge</w:t>
      </w:r>
      <w:proofErr w:type="spellEnd"/>
      <w:r>
        <w:rPr>
          <w:rFonts w:ascii="Calibri" w:eastAsia="바탕" w:hAnsi="Calibri" w:cs="Calibri"/>
          <w:sz w:val="22"/>
        </w:rPr>
        <w:t xml:space="preserve"> due to its high power transmission and well-configured network configuration. In addition, even though it’s not easy to find two TRPs that has LOS path to/from the target object at the same time, it’s more probable to find an adjacent UE that are located nearby the target object. So, TRP-UE and UE-TRP </w:t>
      </w:r>
      <w:proofErr w:type="spellStart"/>
      <w:r>
        <w:rPr>
          <w:rFonts w:ascii="Calibri" w:eastAsia="바탕" w:hAnsi="Calibri" w:cs="Calibri"/>
          <w:sz w:val="22"/>
        </w:rPr>
        <w:t>bistatic</w:t>
      </w:r>
      <w:proofErr w:type="spellEnd"/>
      <w:r>
        <w:rPr>
          <w:rFonts w:ascii="Calibri" w:eastAsia="바탕" w:hAnsi="Calibri" w:cs="Calibri"/>
          <w:sz w:val="22"/>
        </w:rPr>
        <w:t xml:space="preserve"> sensing provides benefits from both sensing coverage and service availability perspective.</w:t>
      </w:r>
    </w:p>
    <w:p w:rsidR="00B83FC8" w:rsidRDefault="00B83FC8" w:rsidP="00B83FC8">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TRP-UE or UE-TRP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have benefits in </w:t>
      </w:r>
      <w:r w:rsidR="00ED7660">
        <w:rPr>
          <w:rFonts w:ascii="Calibri" w:eastAsia="바탕" w:hAnsi="Calibri" w:cs="Calibri"/>
          <w:i/>
          <w:sz w:val="22"/>
        </w:rPr>
        <w:t xml:space="preserve">the </w:t>
      </w:r>
      <w:r>
        <w:rPr>
          <w:rFonts w:ascii="Calibri" w:eastAsia="바탕" w:hAnsi="Calibri" w:cs="Calibri"/>
          <w:i/>
          <w:sz w:val="22"/>
        </w:rPr>
        <w:t>perspective of both coverage and availability of the sensing service.</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It is well known that </w:t>
      </w:r>
      <w:proofErr w:type="spellStart"/>
      <w:r>
        <w:rPr>
          <w:rFonts w:ascii="Calibri" w:eastAsia="바탕" w:hAnsi="Calibri" w:cs="Calibri"/>
          <w:sz w:val="22"/>
        </w:rPr>
        <w:t>monostatic</w:t>
      </w:r>
      <w:proofErr w:type="spellEnd"/>
      <w:r>
        <w:rPr>
          <w:rFonts w:ascii="Calibri" w:eastAsia="바탕" w:hAnsi="Calibri" w:cs="Calibri"/>
          <w:sz w:val="22"/>
        </w:rPr>
        <w:t xml:space="preserve"> sensing requires the full duplex operation of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at the same time and same frequency. The implementation of such full duplex operation is quite challenging and expensive. The implementation issue is more problematic to UE than </w:t>
      </w:r>
      <w:proofErr w:type="spellStart"/>
      <w:r>
        <w:rPr>
          <w:rFonts w:ascii="Calibri" w:eastAsia="바탕" w:hAnsi="Calibri" w:cs="Calibri"/>
          <w:sz w:val="22"/>
        </w:rPr>
        <w:t>gNB</w:t>
      </w:r>
      <w:proofErr w:type="spellEnd"/>
      <w:r>
        <w:rPr>
          <w:rFonts w:ascii="Calibri" w:eastAsia="바탕" w:hAnsi="Calibri" w:cs="Calibri"/>
          <w:sz w:val="22"/>
        </w:rPr>
        <w:t xml:space="preserve">/TRP in that it requires high cost </w:t>
      </w:r>
      <w:r>
        <w:rPr>
          <w:rFonts w:ascii="Calibri" w:eastAsia="바탕" w:hAnsi="Calibri" w:cs="Calibri"/>
          <w:sz w:val="22"/>
        </w:rPr>
        <w:lastRenderedPageBreak/>
        <w:t xml:space="preserve">and complex hardware. The implementation hurdle can be somewhat relaxed if a separate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antenna are located close in distance. However, this implementation approach still requires double amount of cost compared to </w:t>
      </w:r>
      <w:proofErr w:type="spellStart"/>
      <w:r>
        <w:rPr>
          <w:rFonts w:ascii="Calibri" w:eastAsia="바탕" w:hAnsi="Calibri" w:cs="Calibri"/>
          <w:sz w:val="22"/>
        </w:rPr>
        <w:t>bistatic</w:t>
      </w:r>
      <w:proofErr w:type="spellEnd"/>
      <w:r>
        <w:rPr>
          <w:rFonts w:ascii="Calibri" w:eastAsia="바탕" w:hAnsi="Calibri" w:cs="Calibri"/>
          <w:sz w:val="22"/>
        </w:rPr>
        <w:t xml:space="preserve"> sensing. </w:t>
      </w:r>
    </w:p>
    <w:p w:rsidR="00E96896" w:rsidRDefault="00E96896" w:rsidP="00E968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 the contrary, for </w:t>
      </w:r>
      <w:proofErr w:type="spellStart"/>
      <w:r>
        <w:rPr>
          <w:rFonts w:ascii="Calibri" w:eastAsia="바탕" w:hAnsi="Calibri" w:cs="Calibri"/>
          <w:sz w:val="22"/>
        </w:rPr>
        <w:t>bistatic</w:t>
      </w:r>
      <w:proofErr w:type="spellEnd"/>
      <w:r>
        <w:rPr>
          <w:rFonts w:ascii="Calibri" w:eastAsia="바탕" w:hAnsi="Calibri" w:cs="Calibri"/>
          <w:sz w:val="22"/>
        </w:rPr>
        <w:t xml:space="preserve"> sensing,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entities are separate entities so there is no such hardware complexity issue caused by the full duplex operation. Of course, the synchronization between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and Rx entities are pre-requisite for high performance sensing. So from the hardware complexity and the cost perspective, </w:t>
      </w:r>
      <w:proofErr w:type="spellStart"/>
      <w:r>
        <w:rPr>
          <w:rFonts w:ascii="Calibri" w:eastAsia="바탕" w:hAnsi="Calibri" w:cs="Calibri"/>
          <w:sz w:val="22"/>
        </w:rPr>
        <w:t>bistatic</w:t>
      </w:r>
      <w:proofErr w:type="spellEnd"/>
      <w:r>
        <w:rPr>
          <w:rFonts w:ascii="Calibri" w:eastAsia="바탕" w:hAnsi="Calibri" w:cs="Calibri"/>
          <w:sz w:val="22"/>
        </w:rPr>
        <w:t xml:space="preserve"> sensing seems more feasible than </w:t>
      </w:r>
      <w:proofErr w:type="spellStart"/>
      <w:r>
        <w:rPr>
          <w:rFonts w:ascii="Calibri" w:eastAsia="바탕" w:hAnsi="Calibri" w:cs="Calibri"/>
          <w:sz w:val="22"/>
        </w:rPr>
        <w:t>monostatic</w:t>
      </w:r>
      <w:proofErr w:type="spellEnd"/>
      <w:r>
        <w:rPr>
          <w:rFonts w:ascii="Calibri" w:eastAsia="바탕" w:hAnsi="Calibri" w:cs="Calibri"/>
          <w:sz w:val="22"/>
        </w:rPr>
        <w:t xml:space="preserve"> sensing.</w:t>
      </w:r>
    </w:p>
    <w:p w:rsidR="00283426" w:rsidRPr="00283426" w:rsidRDefault="00283426" w:rsidP="00113367">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4A0D6E">
        <w:rPr>
          <w:rFonts w:ascii="Calibri" w:eastAsia="바탕" w:hAnsi="Calibri" w:cs="Calibri"/>
          <w:b/>
          <w:i/>
          <w:sz w:val="22"/>
        </w:rPr>
        <w:t xml:space="preserve"> 6</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hint="eastAsia"/>
          <w:i/>
          <w:sz w:val="22"/>
        </w:rPr>
        <w:t xml:space="preserve">Monostatic sensing mode requires full duplex </w:t>
      </w:r>
      <w:r w:rsidR="00801282">
        <w:rPr>
          <w:rFonts w:ascii="Calibri" w:eastAsia="바탕" w:hAnsi="Calibri" w:cs="Calibri"/>
          <w:i/>
          <w:sz w:val="22"/>
        </w:rPr>
        <w:t>operation</w:t>
      </w:r>
      <w:r>
        <w:rPr>
          <w:rFonts w:ascii="Calibri" w:eastAsia="바탕" w:hAnsi="Calibri" w:cs="Calibri" w:hint="eastAsia"/>
          <w:i/>
          <w:sz w:val="22"/>
        </w:rPr>
        <w:t xml:space="preserve">, which is not required in </w:t>
      </w:r>
      <w:proofErr w:type="spellStart"/>
      <w:r>
        <w:rPr>
          <w:rFonts w:ascii="Calibri" w:eastAsia="바탕" w:hAnsi="Calibri" w:cs="Calibri" w:hint="eastAsia"/>
          <w:i/>
          <w:sz w:val="22"/>
        </w:rPr>
        <w:t>bistatic</w:t>
      </w:r>
      <w:proofErr w:type="spellEnd"/>
      <w:r>
        <w:rPr>
          <w:rFonts w:ascii="Calibri" w:eastAsia="바탕" w:hAnsi="Calibri" w:cs="Calibri" w:hint="eastAsia"/>
          <w:i/>
          <w:sz w:val="22"/>
        </w:rPr>
        <w:t xml:space="preserve"> sensing mode</w:t>
      </w:r>
      <w:r>
        <w:rPr>
          <w:rFonts w:ascii="Calibri" w:eastAsia="바탕" w:hAnsi="Calibri" w:cs="Calibri"/>
          <w:i/>
          <w:sz w:val="22"/>
        </w:rPr>
        <w:t>.</w:t>
      </w:r>
    </w:p>
    <w:p w:rsidR="009D65E2" w:rsidRDefault="009D65E2" w:rsidP="009D65E2">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exception on the analysis in Observation 2 is the case of UAV detection. </w:t>
      </w:r>
      <w:r>
        <w:rPr>
          <w:rFonts w:ascii="Calibri" w:eastAsia="바탕" w:hAnsi="Calibri" w:cs="Calibri" w:hint="eastAsia"/>
          <w:sz w:val="22"/>
        </w:rPr>
        <w:t>A</w:t>
      </w:r>
      <w:r>
        <w:rPr>
          <w:rFonts w:ascii="Calibri" w:eastAsia="바탕" w:hAnsi="Calibri" w:cs="Calibri"/>
          <w:sz w:val="22"/>
        </w:rPr>
        <w:t xml:space="preserve">ccording to TR on </w:t>
      </w:r>
      <w:r w:rsidRPr="00241B6F">
        <w:rPr>
          <w:rFonts w:ascii="Calibri" w:eastAsia="바탕" w:hAnsi="Calibri" w:cs="Calibri"/>
          <w:sz w:val="22"/>
        </w:rPr>
        <w:t>Enhanced LTE support for aerial vehicles</w:t>
      </w:r>
      <w:r>
        <w:rPr>
          <w:rFonts w:ascii="Calibri" w:eastAsia="바탕" w:hAnsi="Calibri" w:cs="Calibri"/>
          <w:sz w:val="22"/>
        </w:rPr>
        <w:t xml:space="preserve"> [2], UAV receives DL interference from a larger number of cells than a typical terrestrial UE does due to the high LOS propagation probability. That means, unlike the terrestrial communication case, it’s more probable that UAV can see a strong LOS path from/to the multiple base stations or TRP. With the observation above, TRP-TRP </w:t>
      </w:r>
      <w:proofErr w:type="spellStart"/>
      <w:r>
        <w:rPr>
          <w:rFonts w:ascii="Calibri" w:eastAsia="바탕" w:hAnsi="Calibri" w:cs="Calibri"/>
          <w:sz w:val="22"/>
        </w:rPr>
        <w:t>bistatic</w:t>
      </w:r>
      <w:proofErr w:type="spellEnd"/>
      <w:r>
        <w:rPr>
          <w:rFonts w:ascii="Calibri" w:eastAsia="바탕" w:hAnsi="Calibri" w:cs="Calibri"/>
          <w:sz w:val="22"/>
        </w:rPr>
        <w:t xml:space="preserve"> sensing seems feasible solution for UAV detection use case.</w:t>
      </w:r>
    </w:p>
    <w:p w:rsidR="00B34B2A" w:rsidRDefault="00B34B2A" w:rsidP="00B34B2A">
      <w:pPr>
        <w:keepNext/>
        <w:wordWrap/>
        <w:adjustRightInd w:val="0"/>
        <w:snapToGrid w:val="0"/>
        <w:spacing w:before="100" w:beforeAutospacing="1" w:afterLines="50" w:after="120" w:line="264" w:lineRule="auto"/>
        <w:jc w:val="center"/>
      </w:pPr>
      <w:r>
        <w:rPr>
          <w:rFonts w:ascii="Calibri" w:eastAsia="바탕" w:hAnsi="Calibri" w:cs="Calibri"/>
          <w:noProof/>
          <w:sz w:val="22"/>
        </w:rPr>
        <w:drawing>
          <wp:inline distT="0" distB="0" distL="0" distR="0" wp14:anchorId="1CA31563" wp14:editId="37784411">
            <wp:extent cx="4776826" cy="1164631"/>
            <wp:effectExtent l="0" t="0" r="508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4475" cy="1173810"/>
                    </a:xfrm>
                    <a:prstGeom prst="rect">
                      <a:avLst/>
                    </a:prstGeom>
                    <a:noFill/>
                  </pic:spPr>
                </pic:pic>
              </a:graphicData>
            </a:graphic>
          </wp:inline>
        </w:drawing>
      </w:r>
    </w:p>
    <w:p w:rsidR="00B34B2A" w:rsidRDefault="00B34B2A" w:rsidP="00B34B2A">
      <w:pPr>
        <w:pStyle w:val="a9"/>
        <w:jc w:val="center"/>
        <w:rPr>
          <w:rFonts w:ascii="Calibri" w:hAnsi="Calibri" w:cs="Calibri"/>
          <w:sz w:val="22"/>
        </w:rPr>
      </w:pPr>
      <w:r>
        <w:t xml:space="preserve">Figure </w:t>
      </w:r>
      <w:r>
        <w:fldChar w:fldCharType="begin"/>
      </w:r>
      <w:r>
        <w:instrText xml:space="preserve"> SEQ Figure \* ARABIC </w:instrText>
      </w:r>
      <w:r>
        <w:fldChar w:fldCharType="separate"/>
      </w:r>
      <w:r>
        <w:rPr>
          <w:noProof/>
        </w:rPr>
        <w:t>4</w:t>
      </w:r>
      <w:r>
        <w:fldChar w:fldCharType="end"/>
      </w:r>
      <w:r>
        <w:t xml:space="preserve"> TRP-TRP </w:t>
      </w:r>
      <w:proofErr w:type="spellStart"/>
      <w:r>
        <w:t>bistatic</w:t>
      </w:r>
      <w:proofErr w:type="spellEnd"/>
      <w:r>
        <w:t xml:space="preserve"> sensing for UAV detection</w:t>
      </w:r>
    </w:p>
    <w:p w:rsidR="00181CF0" w:rsidRDefault="00181CF0" w:rsidP="00181CF0">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w:t>
      </w:r>
      <w:r w:rsidR="00B82901">
        <w:rPr>
          <w:rFonts w:ascii="Calibri" w:eastAsia="바탕" w:hAnsi="Calibri" w:cs="Calibri"/>
          <w:b/>
          <w:i/>
          <w:sz w:val="22"/>
        </w:rPr>
        <w:t xml:space="preserve">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UAV use case, 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can be </w:t>
      </w:r>
      <w:r w:rsidR="00C3362B">
        <w:rPr>
          <w:rFonts w:ascii="Calibri" w:eastAsia="바탕" w:hAnsi="Calibri" w:cs="Calibri"/>
          <w:i/>
          <w:sz w:val="22"/>
        </w:rPr>
        <w:t>deploy</w:t>
      </w:r>
      <w:r>
        <w:rPr>
          <w:rFonts w:ascii="Calibri" w:eastAsia="바탕" w:hAnsi="Calibri" w:cs="Calibri"/>
          <w:i/>
          <w:sz w:val="22"/>
        </w:rPr>
        <w:t>ed based on the observation that UAV can see a large number of TRPs, compared to UE on the ground.</w:t>
      </w:r>
    </w:p>
    <w:p w:rsidR="00D61B3B" w:rsidRDefault="009E5D9E" w:rsidP="009E5D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Regarding the deployment of TRPs, UEs and other obstacles such as buildings and roads, etc. for evaluation, we prefer to reuse the existing evaluation scenarios as much as possible</w:t>
      </w:r>
      <w:r>
        <w:rPr>
          <w:rFonts w:ascii="Calibri" w:eastAsia="바탕" w:hAnsi="Calibri" w:cs="Calibri"/>
          <w:sz w:val="22"/>
        </w:rPr>
        <w:t>.</w:t>
      </w:r>
      <w:r>
        <w:rPr>
          <w:rFonts w:ascii="Calibri" w:eastAsia="바탕" w:hAnsi="Calibri" w:cs="Calibri"/>
          <w:sz w:val="22"/>
        </w:rPr>
        <w:t xml:space="preserve"> First of all, for the evaluation of the </w:t>
      </w:r>
      <w:proofErr w:type="spellStart"/>
      <w:r>
        <w:rPr>
          <w:rFonts w:ascii="Calibri" w:eastAsia="바탕" w:hAnsi="Calibri" w:cs="Calibri"/>
          <w:sz w:val="22"/>
        </w:rPr>
        <w:t>monostatic</w:t>
      </w:r>
      <w:proofErr w:type="spellEnd"/>
      <w:r>
        <w:rPr>
          <w:rFonts w:ascii="Calibri" w:eastAsia="바탕" w:hAnsi="Calibri" w:cs="Calibri"/>
          <w:sz w:val="22"/>
        </w:rPr>
        <w:t xml:space="preserve"> and </w:t>
      </w:r>
      <w:proofErr w:type="spellStart"/>
      <w:r>
        <w:rPr>
          <w:rFonts w:ascii="Calibri" w:eastAsia="바탕" w:hAnsi="Calibri" w:cs="Calibri"/>
          <w:sz w:val="22"/>
        </w:rPr>
        <w:t>bistatic</w:t>
      </w:r>
      <w:proofErr w:type="spellEnd"/>
      <w:r>
        <w:rPr>
          <w:rFonts w:ascii="Calibri" w:eastAsia="바탕" w:hAnsi="Calibri" w:cs="Calibri"/>
          <w:sz w:val="22"/>
        </w:rPr>
        <w:t xml:space="preserve"> sensing that involves TRP (i.e. TRP-TRP/TRP-UE/UE-TRP </w:t>
      </w:r>
      <w:proofErr w:type="spellStart"/>
      <w:r>
        <w:rPr>
          <w:rFonts w:ascii="Calibri" w:eastAsia="바탕" w:hAnsi="Calibri" w:cs="Calibri"/>
          <w:sz w:val="22"/>
        </w:rPr>
        <w:t>bistatic</w:t>
      </w:r>
      <w:proofErr w:type="spellEnd"/>
      <w:r>
        <w:rPr>
          <w:rFonts w:ascii="Calibri" w:eastAsia="바탕" w:hAnsi="Calibri" w:cs="Calibri"/>
          <w:sz w:val="22"/>
        </w:rPr>
        <w:t xml:space="preserve"> and TRP </w:t>
      </w:r>
      <w:proofErr w:type="spellStart"/>
      <w:r>
        <w:rPr>
          <w:rFonts w:ascii="Calibri" w:eastAsia="바탕" w:hAnsi="Calibri" w:cs="Calibri"/>
          <w:sz w:val="22"/>
        </w:rPr>
        <w:t>monostatic</w:t>
      </w:r>
      <w:proofErr w:type="spellEnd"/>
      <w:r>
        <w:rPr>
          <w:rFonts w:ascii="Calibri" w:eastAsia="바탕" w:hAnsi="Calibri" w:cs="Calibri"/>
          <w:sz w:val="22"/>
        </w:rPr>
        <w:t xml:space="preserve"> sensing), the evaluation scenarios defined in TR 38.901</w:t>
      </w:r>
      <w:r w:rsidR="00C03F27">
        <w:rPr>
          <w:rFonts w:ascii="Calibri" w:eastAsia="바탕" w:hAnsi="Calibri" w:cs="Calibri"/>
          <w:sz w:val="22"/>
        </w:rPr>
        <w:t>[3]</w:t>
      </w:r>
      <w:r>
        <w:rPr>
          <w:rFonts w:ascii="Calibri" w:eastAsia="바탕" w:hAnsi="Calibri" w:cs="Calibri"/>
          <w:sz w:val="22"/>
        </w:rPr>
        <w:t xml:space="preserve"> can be reused for detection of </w:t>
      </w:r>
      <w:r w:rsidR="00D61B3B">
        <w:rPr>
          <w:rFonts w:ascii="Calibri" w:eastAsia="바탕" w:hAnsi="Calibri" w:cs="Calibri"/>
          <w:sz w:val="22"/>
        </w:rPr>
        <w:t xml:space="preserve">the </w:t>
      </w:r>
      <w:r>
        <w:rPr>
          <w:rFonts w:ascii="Calibri" w:eastAsia="바탕" w:hAnsi="Calibri" w:cs="Calibri"/>
          <w:sz w:val="22"/>
        </w:rPr>
        <w:t xml:space="preserve">objects. </w:t>
      </w:r>
    </w:p>
    <w:p w:rsidR="009E5D9E" w:rsidRDefault="00D61B3B" w:rsidP="009E5D9E">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outdoor environment case, </w:t>
      </w:r>
      <w:proofErr w:type="spellStart"/>
      <w:r>
        <w:rPr>
          <w:rFonts w:ascii="Calibri" w:eastAsia="바탕" w:hAnsi="Calibri" w:cs="Calibri"/>
          <w:sz w:val="22"/>
        </w:rPr>
        <w:t>U</w:t>
      </w:r>
      <w:r w:rsidR="004F6A20">
        <w:rPr>
          <w:rFonts w:ascii="Calibri" w:eastAsia="바탕" w:hAnsi="Calibri" w:cs="Calibri"/>
          <w:sz w:val="22"/>
        </w:rPr>
        <w:t>M</w:t>
      </w:r>
      <w:r>
        <w:rPr>
          <w:rFonts w:ascii="Calibri" w:eastAsia="바탕" w:hAnsi="Calibri" w:cs="Calibri"/>
          <w:sz w:val="22"/>
        </w:rPr>
        <w:t>a</w:t>
      </w:r>
      <w:proofErr w:type="spellEnd"/>
      <w:r w:rsidR="004F6A20">
        <w:rPr>
          <w:rFonts w:ascii="Calibri" w:eastAsia="바탕" w:hAnsi="Calibri" w:cs="Calibri"/>
          <w:sz w:val="22"/>
        </w:rPr>
        <w:t xml:space="preserve">(urban </w:t>
      </w:r>
      <w:proofErr w:type="spellStart"/>
      <w:r w:rsidR="004F6A20">
        <w:rPr>
          <w:rFonts w:ascii="Calibri" w:eastAsia="바탕" w:hAnsi="Calibri" w:cs="Calibri"/>
          <w:sz w:val="22"/>
        </w:rPr>
        <w:t>macrocell</w:t>
      </w:r>
      <w:proofErr w:type="spellEnd"/>
      <w:r w:rsidR="004F6A20">
        <w:rPr>
          <w:rFonts w:ascii="Calibri" w:eastAsia="바탕" w:hAnsi="Calibri" w:cs="Calibri"/>
          <w:sz w:val="22"/>
        </w:rPr>
        <w:t>)</w:t>
      </w:r>
      <w:r>
        <w:rPr>
          <w:rFonts w:ascii="Calibri" w:eastAsia="바탕" w:hAnsi="Calibri" w:cs="Calibri"/>
          <w:sz w:val="22"/>
        </w:rPr>
        <w:t xml:space="preserve">, </w:t>
      </w:r>
      <w:proofErr w:type="spellStart"/>
      <w:r>
        <w:rPr>
          <w:rFonts w:ascii="Calibri" w:eastAsia="바탕" w:hAnsi="Calibri" w:cs="Calibri"/>
          <w:sz w:val="22"/>
        </w:rPr>
        <w:t>UMi</w:t>
      </w:r>
      <w:proofErr w:type="spellEnd"/>
      <w:r w:rsidR="004F6A20">
        <w:rPr>
          <w:rFonts w:ascii="Calibri" w:eastAsia="바탕" w:hAnsi="Calibri" w:cs="Calibri"/>
          <w:sz w:val="22"/>
        </w:rPr>
        <w:t>(urban</w:t>
      </w:r>
      <w:bookmarkStart w:id="2" w:name="_GoBack"/>
      <w:bookmarkEnd w:id="2"/>
      <w:r w:rsidR="004F6A20">
        <w:rPr>
          <w:rFonts w:ascii="Calibri" w:eastAsia="바탕" w:hAnsi="Calibri" w:cs="Calibri"/>
          <w:sz w:val="22"/>
        </w:rPr>
        <w:t xml:space="preserve"> microcell </w:t>
      </w:r>
      <w:r w:rsidR="004F6A20">
        <w:rPr>
          <w:rFonts w:ascii="Calibri" w:eastAsia="바탕" w:hAnsi="Calibri" w:cs="Calibri"/>
          <w:sz w:val="22"/>
        </w:rPr>
        <w:t>street canyon</w:t>
      </w:r>
      <w:r w:rsidR="004F6A20">
        <w:rPr>
          <w:rFonts w:ascii="Calibri" w:eastAsia="바탕" w:hAnsi="Calibri" w:cs="Calibri"/>
          <w:sz w:val="22"/>
        </w:rPr>
        <w:t>)</w:t>
      </w:r>
      <w:r>
        <w:rPr>
          <w:rFonts w:ascii="Calibri" w:eastAsia="바탕" w:hAnsi="Calibri" w:cs="Calibri"/>
          <w:sz w:val="22"/>
        </w:rPr>
        <w:t xml:space="preserve"> and </w:t>
      </w:r>
      <w:proofErr w:type="spellStart"/>
      <w:r>
        <w:rPr>
          <w:rFonts w:ascii="Calibri" w:eastAsia="바탕" w:hAnsi="Calibri" w:cs="Calibri"/>
          <w:sz w:val="22"/>
        </w:rPr>
        <w:t>RMa</w:t>
      </w:r>
      <w:proofErr w:type="spellEnd"/>
      <w:r w:rsidR="004F6A20">
        <w:rPr>
          <w:rFonts w:ascii="Calibri" w:eastAsia="바탕" w:hAnsi="Calibri" w:cs="Calibri"/>
          <w:sz w:val="22"/>
        </w:rPr>
        <w:t xml:space="preserve">(rural </w:t>
      </w:r>
      <w:proofErr w:type="spellStart"/>
      <w:r w:rsidR="004F6A20">
        <w:rPr>
          <w:rFonts w:ascii="Calibri" w:eastAsia="바탕" w:hAnsi="Calibri" w:cs="Calibri"/>
          <w:sz w:val="22"/>
        </w:rPr>
        <w:t>macrocell</w:t>
      </w:r>
      <w:proofErr w:type="spellEnd"/>
      <w:r w:rsidR="004F6A20">
        <w:rPr>
          <w:rFonts w:ascii="Calibri" w:eastAsia="바탕" w:hAnsi="Calibri" w:cs="Calibri"/>
          <w:sz w:val="22"/>
        </w:rPr>
        <w:t>)</w:t>
      </w:r>
      <w:r>
        <w:rPr>
          <w:rFonts w:ascii="Calibri" w:eastAsia="바탕" w:hAnsi="Calibri" w:cs="Calibri"/>
          <w:sz w:val="22"/>
        </w:rPr>
        <w:t xml:space="preserve"> </w:t>
      </w:r>
      <w:r w:rsidR="004F6A20">
        <w:rPr>
          <w:rFonts w:ascii="Calibri" w:eastAsia="바탕" w:hAnsi="Calibri" w:cs="Calibri"/>
          <w:sz w:val="22"/>
        </w:rPr>
        <w:t xml:space="preserve">scenario </w:t>
      </w:r>
      <w:r>
        <w:rPr>
          <w:rFonts w:ascii="Calibri" w:eastAsia="바탕" w:hAnsi="Calibri" w:cs="Calibri"/>
          <w:sz w:val="22"/>
        </w:rPr>
        <w:t>can be reused for</w:t>
      </w:r>
      <w:r>
        <w:rPr>
          <w:rFonts w:ascii="Calibri" w:eastAsia="바탕" w:hAnsi="Calibri" w:cs="Calibri"/>
          <w:sz w:val="22"/>
        </w:rPr>
        <w:t xml:space="preserve"> </w:t>
      </w:r>
      <w:r w:rsidR="009E5D9E">
        <w:rPr>
          <w:rFonts w:ascii="Calibri" w:eastAsia="바탕" w:hAnsi="Calibri" w:cs="Calibri"/>
          <w:sz w:val="22"/>
        </w:rPr>
        <w:t xml:space="preserve">detection </w:t>
      </w:r>
      <w:r w:rsidR="004F6A20">
        <w:rPr>
          <w:rFonts w:ascii="Calibri" w:eastAsia="바탕" w:hAnsi="Calibri" w:cs="Calibri"/>
          <w:sz w:val="22"/>
        </w:rPr>
        <w:t>of</w:t>
      </w:r>
      <w:r w:rsidR="009E5D9E">
        <w:rPr>
          <w:rFonts w:ascii="Calibri" w:eastAsia="바탕" w:hAnsi="Calibri" w:cs="Calibri"/>
          <w:sz w:val="22"/>
        </w:rPr>
        <w:t xml:space="preserve"> humans, automotive vehicles, hazardous objects on roads/railways, and possibly the automated guided vehicles e.g. </w:t>
      </w:r>
      <w:r>
        <w:rPr>
          <w:rFonts w:ascii="Calibri" w:eastAsia="바탕" w:hAnsi="Calibri" w:cs="Calibri"/>
          <w:sz w:val="22"/>
        </w:rPr>
        <w:t>in the port/harbor.</w:t>
      </w:r>
      <w:r w:rsidR="004F6A20">
        <w:rPr>
          <w:rFonts w:ascii="Calibri" w:eastAsia="바탕" w:hAnsi="Calibri" w:cs="Calibri"/>
          <w:sz w:val="22"/>
        </w:rPr>
        <w:t xml:space="preserve"> For indoor environment case, indoor office and indoor factory scenario can be reused for detection of humans and automated guided vehicles in the indoor factories.</w:t>
      </w:r>
    </w:p>
    <w:p w:rsidR="009E5D9E" w:rsidRDefault="009E5D9E" w:rsidP="009E5D9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evaluation scenario of TRP-related </w:t>
      </w:r>
      <w:proofErr w:type="spellStart"/>
      <w:r>
        <w:rPr>
          <w:rFonts w:ascii="Calibri" w:eastAsia="바탕" w:hAnsi="Calibri" w:cs="Calibri"/>
          <w:i/>
          <w:sz w:val="22"/>
        </w:rPr>
        <w:t>monostatic</w:t>
      </w:r>
      <w:proofErr w:type="spellEnd"/>
      <w:r>
        <w:rPr>
          <w:rFonts w:ascii="Calibri" w:eastAsia="바탕" w:hAnsi="Calibri" w:cs="Calibri"/>
          <w:i/>
          <w:sz w:val="22"/>
        </w:rPr>
        <w:t xml:space="preserve"> and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w:t>
      </w:r>
      <w:proofErr w:type="spellStart"/>
      <w:r>
        <w:rPr>
          <w:rFonts w:ascii="Calibri" w:eastAsia="바탕" w:hAnsi="Calibri" w:cs="Calibri"/>
          <w:i/>
          <w:sz w:val="22"/>
        </w:rPr>
        <w:t>UMa</w:t>
      </w:r>
      <w:proofErr w:type="spellEnd"/>
      <w:r>
        <w:rPr>
          <w:rFonts w:ascii="Calibri" w:eastAsia="바탕" w:hAnsi="Calibri" w:cs="Calibri"/>
          <w:i/>
          <w:sz w:val="22"/>
        </w:rPr>
        <w:t xml:space="preserve">, </w:t>
      </w:r>
      <w:proofErr w:type="spellStart"/>
      <w:r>
        <w:rPr>
          <w:rFonts w:ascii="Calibri" w:eastAsia="바탕" w:hAnsi="Calibri" w:cs="Calibri"/>
          <w:i/>
          <w:sz w:val="22"/>
        </w:rPr>
        <w:t>UMi</w:t>
      </w:r>
      <w:proofErr w:type="spellEnd"/>
      <w:r>
        <w:rPr>
          <w:rFonts w:ascii="Calibri" w:eastAsia="바탕" w:hAnsi="Calibri" w:cs="Calibri"/>
          <w:i/>
          <w:sz w:val="22"/>
        </w:rPr>
        <w:t xml:space="preserve">, </w:t>
      </w:r>
      <w:proofErr w:type="spellStart"/>
      <w:r>
        <w:rPr>
          <w:rFonts w:ascii="Calibri" w:eastAsia="바탕" w:hAnsi="Calibri" w:cs="Calibri"/>
          <w:i/>
          <w:sz w:val="22"/>
        </w:rPr>
        <w:t>RMa</w:t>
      </w:r>
      <w:proofErr w:type="spellEnd"/>
      <w:r>
        <w:rPr>
          <w:rFonts w:ascii="Calibri" w:eastAsia="바탕" w:hAnsi="Calibri" w:cs="Calibri"/>
          <w:i/>
          <w:sz w:val="22"/>
        </w:rPr>
        <w:t xml:space="preserve">, indoor office and indoor factory </w:t>
      </w:r>
      <w:r w:rsidR="004F6A20">
        <w:rPr>
          <w:rFonts w:ascii="Calibri" w:eastAsia="바탕" w:hAnsi="Calibri" w:cs="Calibri"/>
          <w:i/>
          <w:sz w:val="22"/>
        </w:rPr>
        <w:t xml:space="preserve">scenario </w:t>
      </w:r>
      <w:r>
        <w:rPr>
          <w:rFonts w:ascii="Calibri" w:eastAsia="바탕" w:hAnsi="Calibri" w:cs="Calibri"/>
          <w:i/>
          <w:sz w:val="22"/>
        </w:rPr>
        <w:t>defined in TR38.901 are reused for outdoor and indoor use case.</w:t>
      </w:r>
    </w:p>
    <w:p w:rsidR="004F6A20" w:rsidRDefault="004F6A20" w:rsidP="004F6A20">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Second, for the evaluation of the </w:t>
      </w:r>
      <w:proofErr w:type="spellStart"/>
      <w:r>
        <w:rPr>
          <w:rFonts w:ascii="Calibri" w:eastAsia="바탕" w:hAnsi="Calibri" w:cs="Calibri"/>
          <w:sz w:val="22"/>
        </w:rPr>
        <w:t>monostatic</w:t>
      </w:r>
      <w:proofErr w:type="spellEnd"/>
      <w:r>
        <w:rPr>
          <w:rFonts w:ascii="Calibri" w:eastAsia="바탕" w:hAnsi="Calibri" w:cs="Calibri"/>
          <w:sz w:val="22"/>
        </w:rPr>
        <w:t xml:space="preserve"> and </w:t>
      </w:r>
      <w:proofErr w:type="spellStart"/>
      <w:r>
        <w:rPr>
          <w:rFonts w:ascii="Calibri" w:eastAsia="바탕" w:hAnsi="Calibri" w:cs="Calibri"/>
          <w:sz w:val="22"/>
        </w:rPr>
        <w:t>bistatic</w:t>
      </w:r>
      <w:proofErr w:type="spellEnd"/>
      <w:r>
        <w:rPr>
          <w:rFonts w:ascii="Calibri" w:eastAsia="바탕" w:hAnsi="Calibri" w:cs="Calibri"/>
          <w:sz w:val="22"/>
        </w:rPr>
        <w:t xml:space="preserve"> sensing that involves only UEs (i.e. UE-UE </w:t>
      </w:r>
      <w:proofErr w:type="spellStart"/>
      <w:r>
        <w:rPr>
          <w:rFonts w:ascii="Calibri" w:eastAsia="바탕" w:hAnsi="Calibri" w:cs="Calibri"/>
          <w:sz w:val="22"/>
        </w:rPr>
        <w:t>bistatic</w:t>
      </w:r>
      <w:proofErr w:type="spellEnd"/>
      <w:r>
        <w:rPr>
          <w:rFonts w:ascii="Calibri" w:eastAsia="바탕" w:hAnsi="Calibri" w:cs="Calibri"/>
          <w:sz w:val="22"/>
        </w:rPr>
        <w:t xml:space="preserve"> and UE </w:t>
      </w:r>
      <w:proofErr w:type="spellStart"/>
      <w:r>
        <w:rPr>
          <w:rFonts w:ascii="Calibri" w:eastAsia="바탕" w:hAnsi="Calibri" w:cs="Calibri"/>
          <w:sz w:val="22"/>
        </w:rPr>
        <w:t>monostatic</w:t>
      </w:r>
      <w:proofErr w:type="spellEnd"/>
      <w:r>
        <w:rPr>
          <w:rFonts w:ascii="Calibri" w:eastAsia="바탕" w:hAnsi="Calibri" w:cs="Calibri"/>
          <w:sz w:val="22"/>
        </w:rPr>
        <w:t xml:space="preserve"> sensing mode)</w:t>
      </w:r>
      <w:r w:rsidR="00DD7E0A">
        <w:rPr>
          <w:rFonts w:ascii="Calibri" w:eastAsia="바탕" w:hAnsi="Calibri" w:cs="Calibri"/>
          <w:sz w:val="22"/>
        </w:rPr>
        <w:t>, the evaluation scenarios defined in TR</w:t>
      </w:r>
      <w:r w:rsidR="00467E30">
        <w:rPr>
          <w:rFonts w:ascii="Calibri" w:eastAsia="바탕" w:hAnsi="Calibri" w:cs="Calibri"/>
          <w:sz w:val="22"/>
        </w:rPr>
        <w:t xml:space="preserve"> </w:t>
      </w:r>
      <w:r w:rsidR="00DD7E0A">
        <w:rPr>
          <w:rFonts w:ascii="Calibri" w:eastAsia="바탕" w:hAnsi="Calibri" w:cs="Calibri"/>
          <w:sz w:val="22"/>
        </w:rPr>
        <w:t>37.885</w:t>
      </w:r>
      <w:r w:rsidR="00C03F27">
        <w:rPr>
          <w:rFonts w:ascii="Calibri" w:eastAsia="바탕" w:hAnsi="Calibri" w:cs="Calibri"/>
          <w:sz w:val="22"/>
        </w:rPr>
        <w:t>[4]</w:t>
      </w:r>
      <w:r w:rsidR="00DD7E0A">
        <w:rPr>
          <w:rFonts w:ascii="Calibri" w:eastAsia="바탕" w:hAnsi="Calibri" w:cs="Calibri"/>
          <w:sz w:val="22"/>
        </w:rPr>
        <w:t xml:space="preserve"> can be reused. There are two types of scenarios – urban grid and highway for SL communication. We believe the same scenarios can also be used for sensing evaluation.</w:t>
      </w:r>
    </w:p>
    <w:p w:rsidR="009E5D9E" w:rsidRDefault="009E5D9E" w:rsidP="009E5D9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lastRenderedPageBreak/>
        <w:t>Proposal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evaluation scenario of UE-only-related </w:t>
      </w:r>
      <w:proofErr w:type="spellStart"/>
      <w:r>
        <w:rPr>
          <w:rFonts w:ascii="Calibri" w:eastAsia="바탕" w:hAnsi="Calibri" w:cs="Calibri"/>
          <w:i/>
          <w:sz w:val="22"/>
        </w:rPr>
        <w:t>monostatic</w:t>
      </w:r>
      <w:proofErr w:type="spellEnd"/>
      <w:r>
        <w:rPr>
          <w:rFonts w:ascii="Calibri" w:eastAsia="바탕" w:hAnsi="Calibri" w:cs="Calibri"/>
          <w:i/>
          <w:sz w:val="22"/>
        </w:rPr>
        <w:t xml:space="preserve"> and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urban grid and highway for V2X defined in TR37.885 are reused.</w:t>
      </w:r>
    </w:p>
    <w:p w:rsidR="008541E8" w:rsidRDefault="008541E8" w:rsidP="008541E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Last</w:t>
      </w:r>
      <w:r>
        <w:rPr>
          <w:rFonts w:ascii="Calibri" w:eastAsia="바탕" w:hAnsi="Calibri" w:cs="Calibri"/>
          <w:sz w:val="22"/>
        </w:rPr>
        <w:t xml:space="preserve">, for the evaluation of the </w:t>
      </w:r>
      <w:proofErr w:type="spellStart"/>
      <w:r>
        <w:rPr>
          <w:rFonts w:ascii="Calibri" w:eastAsia="바탕" w:hAnsi="Calibri" w:cs="Calibri"/>
          <w:sz w:val="22"/>
        </w:rPr>
        <w:t>monostatic</w:t>
      </w:r>
      <w:proofErr w:type="spellEnd"/>
      <w:r>
        <w:rPr>
          <w:rFonts w:ascii="Calibri" w:eastAsia="바탕" w:hAnsi="Calibri" w:cs="Calibri"/>
          <w:sz w:val="22"/>
        </w:rPr>
        <w:t xml:space="preserve"> and </w:t>
      </w:r>
      <w:proofErr w:type="spellStart"/>
      <w:r>
        <w:rPr>
          <w:rFonts w:ascii="Calibri" w:eastAsia="바탕" w:hAnsi="Calibri" w:cs="Calibri"/>
          <w:sz w:val="22"/>
        </w:rPr>
        <w:t>bistatic</w:t>
      </w:r>
      <w:proofErr w:type="spellEnd"/>
      <w:r>
        <w:rPr>
          <w:rFonts w:ascii="Calibri" w:eastAsia="바탕" w:hAnsi="Calibri" w:cs="Calibri"/>
          <w:sz w:val="22"/>
        </w:rPr>
        <w:t xml:space="preserve"> sensing </w:t>
      </w:r>
      <w:r>
        <w:rPr>
          <w:rFonts w:ascii="Calibri" w:eastAsia="바탕" w:hAnsi="Calibri" w:cs="Calibri"/>
          <w:sz w:val="22"/>
        </w:rPr>
        <w:t>for detection of UAV, we can start with the study item report TR36.777 on the e</w:t>
      </w:r>
      <w:r w:rsidRPr="008541E8">
        <w:rPr>
          <w:rFonts w:ascii="Calibri" w:eastAsia="바탕" w:hAnsi="Calibri" w:cs="Calibri"/>
          <w:sz w:val="22"/>
        </w:rPr>
        <w:t>nhanced LTE support for aerial vehicles</w:t>
      </w:r>
      <w:r>
        <w:rPr>
          <w:rFonts w:ascii="Calibri" w:eastAsia="바탕" w:hAnsi="Calibri" w:cs="Calibri"/>
          <w:sz w:val="22"/>
        </w:rPr>
        <w:t>.</w:t>
      </w:r>
      <w:r>
        <w:rPr>
          <w:rFonts w:ascii="Calibri" w:eastAsia="바탕" w:hAnsi="Calibri" w:cs="Calibri"/>
          <w:sz w:val="22"/>
        </w:rPr>
        <w:t xml:space="preserve"> </w:t>
      </w:r>
      <w:r w:rsidR="008D5BE2">
        <w:rPr>
          <w:rFonts w:ascii="Calibri" w:eastAsia="바탕" w:hAnsi="Calibri" w:cs="Calibri"/>
          <w:sz w:val="22"/>
        </w:rPr>
        <w:t xml:space="preserve">The evaluation scenario includes </w:t>
      </w:r>
      <w:proofErr w:type="spellStart"/>
      <w:r w:rsidR="008D5BE2">
        <w:rPr>
          <w:rFonts w:ascii="Calibri" w:eastAsia="바탕" w:hAnsi="Calibri" w:cs="Calibri"/>
          <w:sz w:val="22"/>
        </w:rPr>
        <w:t>UMi</w:t>
      </w:r>
      <w:proofErr w:type="spellEnd"/>
      <w:r w:rsidR="008D5BE2">
        <w:rPr>
          <w:rFonts w:ascii="Calibri" w:eastAsia="바탕" w:hAnsi="Calibri" w:cs="Calibri"/>
          <w:sz w:val="22"/>
        </w:rPr>
        <w:t>-AV (</w:t>
      </w:r>
      <w:proofErr w:type="spellStart"/>
      <w:r w:rsidR="008D5BE2">
        <w:rPr>
          <w:rFonts w:ascii="Calibri" w:eastAsia="바탕" w:hAnsi="Calibri" w:cs="Calibri"/>
          <w:sz w:val="22"/>
        </w:rPr>
        <w:t>UMi</w:t>
      </w:r>
      <w:proofErr w:type="spellEnd"/>
      <w:r w:rsidR="008D5BE2">
        <w:rPr>
          <w:rFonts w:ascii="Calibri" w:eastAsia="바탕" w:hAnsi="Calibri" w:cs="Calibri"/>
          <w:sz w:val="22"/>
        </w:rPr>
        <w:t xml:space="preserve"> for aerial vehicle), </w:t>
      </w:r>
      <w:proofErr w:type="spellStart"/>
      <w:r w:rsidR="008D5BE2">
        <w:rPr>
          <w:rFonts w:ascii="Calibri" w:eastAsia="바탕" w:hAnsi="Calibri" w:cs="Calibri"/>
          <w:sz w:val="22"/>
        </w:rPr>
        <w:t>UM</w:t>
      </w:r>
      <w:r w:rsidR="008D5BE2">
        <w:rPr>
          <w:rFonts w:ascii="Calibri" w:eastAsia="바탕" w:hAnsi="Calibri" w:cs="Calibri"/>
          <w:sz w:val="22"/>
        </w:rPr>
        <w:t>a</w:t>
      </w:r>
      <w:proofErr w:type="spellEnd"/>
      <w:r w:rsidR="008D5BE2">
        <w:rPr>
          <w:rFonts w:ascii="Calibri" w:eastAsia="바탕" w:hAnsi="Calibri" w:cs="Calibri"/>
          <w:sz w:val="22"/>
        </w:rPr>
        <w:t>-AV (</w:t>
      </w:r>
      <w:proofErr w:type="spellStart"/>
      <w:r w:rsidR="008D5BE2">
        <w:rPr>
          <w:rFonts w:ascii="Calibri" w:eastAsia="바탕" w:hAnsi="Calibri" w:cs="Calibri"/>
          <w:sz w:val="22"/>
        </w:rPr>
        <w:t>UM</w:t>
      </w:r>
      <w:r w:rsidR="008D5BE2">
        <w:rPr>
          <w:rFonts w:ascii="Calibri" w:eastAsia="바탕" w:hAnsi="Calibri" w:cs="Calibri"/>
          <w:sz w:val="22"/>
        </w:rPr>
        <w:t>a</w:t>
      </w:r>
      <w:proofErr w:type="spellEnd"/>
      <w:r w:rsidR="008D5BE2">
        <w:rPr>
          <w:rFonts w:ascii="Calibri" w:eastAsia="바탕" w:hAnsi="Calibri" w:cs="Calibri"/>
          <w:sz w:val="22"/>
        </w:rPr>
        <w:t xml:space="preserve"> for aerial vehicle),</w:t>
      </w:r>
      <w:r w:rsidR="008D5BE2">
        <w:rPr>
          <w:rFonts w:ascii="Calibri" w:eastAsia="바탕" w:hAnsi="Calibri" w:cs="Calibri"/>
          <w:sz w:val="22"/>
        </w:rPr>
        <w:t xml:space="preserve"> </w:t>
      </w:r>
      <w:proofErr w:type="spellStart"/>
      <w:proofErr w:type="gramStart"/>
      <w:r w:rsidR="008D5BE2">
        <w:rPr>
          <w:rFonts w:ascii="Calibri" w:eastAsia="바탕" w:hAnsi="Calibri" w:cs="Calibri"/>
          <w:sz w:val="22"/>
        </w:rPr>
        <w:t>R</w:t>
      </w:r>
      <w:r w:rsidR="008D5BE2">
        <w:rPr>
          <w:rFonts w:ascii="Calibri" w:eastAsia="바탕" w:hAnsi="Calibri" w:cs="Calibri"/>
          <w:sz w:val="22"/>
        </w:rPr>
        <w:t>M</w:t>
      </w:r>
      <w:r w:rsidR="008D5BE2">
        <w:rPr>
          <w:rFonts w:ascii="Calibri" w:eastAsia="바탕" w:hAnsi="Calibri" w:cs="Calibri"/>
          <w:sz w:val="22"/>
        </w:rPr>
        <w:t>a</w:t>
      </w:r>
      <w:proofErr w:type="spellEnd"/>
      <w:proofErr w:type="gramEnd"/>
      <w:r w:rsidR="008D5BE2">
        <w:rPr>
          <w:rFonts w:ascii="Calibri" w:eastAsia="바탕" w:hAnsi="Calibri" w:cs="Calibri"/>
          <w:sz w:val="22"/>
        </w:rPr>
        <w:t>-</w:t>
      </w:r>
      <w:r w:rsidR="008D5BE2">
        <w:rPr>
          <w:rFonts w:ascii="Calibri" w:eastAsia="바탕" w:hAnsi="Calibri" w:cs="Calibri"/>
          <w:sz w:val="22"/>
        </w:rPr>
        <w:t>AV (</w:t>
      </w:r>
      <w:proofErr w:type="spellStart"/>
      <w:r w:rsidR="008D5BE2">
        <w:rPr>
          <w:rFonts w:ascii="Calibri" w:eastAsia="바탕" w:hAnsi="Calibri" w:cs="Calibri"/>
          <w:sz w:val="22"/>
        </w:rPr>
        <w:t>R</w:t>
      </w:r>
      <w:r w:rsidR="008D5BE2">
        <w:rPr>
          <w:rFonts w:ascii="Calibri" w:eastAsia="바탕" w:hAnsi="Calibri" w:cs="Calibri"/>
          <w:sz w:val="22"/>
        </w:rPr>
        <w:t>M</w:t>
      </w:r>
      <w:r w:rsidR="008D5BE2">
        <w:rPr>
          <w:rFonts w:ascii="Calibri" w:eastAsia="바탕" w:hAnsi="Calibri" w:cs="Calibri"/>
          <w:sz w:val="22"/>
        </w:rPr>
        <w:t>a</w:t>
      </w:r>
      <w:proofErr w:type="spellEnd"/>
      <w:r w:rsidR="008D5BE2">
        <w:rPr>
          <w:rFonts w:ascii="Calibri" w:eastAsia="바탕" w:hAnsi="Calibri" w:cs="Calibri"/>
          <w:sz w:val="22"/>
        </w:rPr>
        <w:t xml:space="preserve"> for ae</w:t>
      </w:r>
      <w:r w:rsidR="008D5BE2">
        <w:rPr>
          <w:rFonts w:ascii="Calibri" w:eastAsia="바탕" w:hAnsi="Calibri" w:cs="Calibri"/>
          <w:sz w:val="22"/>
        </w:rPr>
        <w:t>rial vehicle) depending on the terrain configuration. We can start with this TR and modify the scenarios and the associated parameters for sensing operation, if needed.</w:t>
      </w:r>
    </w:p>
    <w:p w:rsidR="009E5D9E" w:rsidRDefault="009E5D9E" w:rsidP="009E5D9E">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UAV detection use case, </w:t>
      </w:r>
      <w:proofErr w:type="spellStart"/>
      <w:r w:rsidR="008D5BE2">
        <w:rPr>
          <w:rFonts w:ascii="Calibri" w:eastAsia="바탕" w:hAnsi="Calibri" w:cs="Calibri"/>
          <w:i/>
          <w:sz w:val="22"/>
        </w:rPr>
        <w:t>UMi</w:t>
      </w:r>
      <w:proofErr w:type="spellEnd"/>
      <w:r w:rsidR="008D5BE2">
        <w:rPr>
          <w:rFonts w:ascii="Calibri" w:eastAsia="바탕" w:hAnsi="Calibri" w:cs="Calibri"/>
          <w:i/>
          <w:sz w:val="22"/>
        </w:rPr>
        <w:t xml:space="preserve">-AV, </w:t>
      </w:r>
      <w:proofErr w:type="spellStart"/>
      <w:r w:rsidR="008D5BE2">
        <w:rPr>
          <w:rFonts w:ascii="Calibri" w:eastAsia="바탕" w:hAnsi="Calibri" w:cs="Calibri"/>
          <w:i/>
          <w:sz w:val="22"/>
        </w:rPr>
        <w:t>UMa</w:t>
      </w:r>
      <w:proofErr w:type="spellEnd"/>
      <w:r w:rsidR="008D5BE2">
        <w:rPr>
          <w:rFonts w:ascii="Calibri" w:eastAsia="바탕" w:hAnsi="Calibri" w:cs="Calibri"/>
          <w:i/>
          <w:sz w:val="22"/>
        </w:rPr>
        <w:t xml:space="preserve">-AV, </w:t>
      </w:r>
      <w:proofErr w:type="spellStart"/>
      <w:r w:rsidR="008D5BE2">
        <w:rPr>
          <w:rFonts w:ascii="Calibri" w:eastAsia="바탕" w:hAnsi="Calibri" w:cs="Calibri"/>
          <w:i/>
          <w:sz w:val="22"/>
        </w:rPr>
        <w:t>RMa</w:t>
      </w:r>
      <w:proofErr w:type="spellEnd"/>
      <w:r w:rsidR="008D5BE2">
        <w:rPr>
          <w:rFonts w:ascii="Calibri" w:eastAsia="바탕" w:hAnsi="Calibri" w:cs="Calibri"/>
          <w:i/>
          <w:sz w:val="22"/>
        </w:rPr>
        <w:t>-AV</w:t>
      </w:r>
      <w:r>
        <w:rPr>
          <w:rFonts w:ascii="Calibri" w:eastAsia="바탕" w:hAnsi="Calibri" w:cs="Calibri"/>
          <w:i/>
          <w:sz w:val="22"/>
        </w:rPr>
        <w:t xml:space="preserve"> defined in TR36.777 are the starting point</w:t>
      </w:r>
      <w:r w:rsidR="008D5BE2">
        <w:rPr>
          <w:rFonts w:ascii="Calibri" w:eastAsia="바탕" w:hAnsi="Calibri" w:cs="Calibri"/>
          <w:i/>
          <w:sz w:val="22"/>
        </w:rPr>
        <w:t xml:space="preserve"> of the evaluation scenarios</w:t>
      </w:r>
      <w:r>
        <w:rPr>
          <w:rFonts w:ascii="Calibri" w:eastAsia="바탕" w:hAnsi="Calibri" w:cs="Calibri"/>
          <w:i/>
          <w:sz w:val="22"/>
        </w:rPr>
        <w:t>.</w:t>
      </w: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the deployment scenarios for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1</w:t>
      </w:r>
      <w:r w:rsidRPr="00FC3A33">
        <w:rPr>
          <w:rFonts w:ascii="Calibri" w:eastAsia="바탕" w:hAnsi="Calibri" w:cs="Calibri"/>
          <w:b/>
          <w:i/>
          <w:sz w:val="22"/>
        </w:rPr>
        <w:t>:</w:t>
      </w:r>
      <w:r w:rsidRPr="00FC3A33">
        <w:rPr>
          <w:rFonts w:ascii="Calibri" w:eastAsia="바탕" w:hAnsi="Calibri" w:cs="Calibri"/>
          <w:i/>
          <w:sz w:val="22"/>
        </w:rPr>
        <w:t xml:space="preserve">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can provide almost same coverage as communication, whereas the </w:t>
      </w:r>
      <w:proofErr w:type="spellStart"/>
      <w:r>
        <w:rPr>
          <w:rFonts w:ascii="Calibri" w:eastAsia="바탕" w:hAnsi="Calibri" w:cs="Calibri"/>
          <w:i/>
          <w:sz w:val="22"/>
        </w:rPr>
        <w:t>monostatic</w:t>
      </w:r>
      <w:proofErr w:type="spellEnd"/>
      <w:r>
        <w:rPr>
          <w:rFonts w:ascii="Calibri" w:eastAsia="바탕" w:hAnsi="Calibri" w:cs="Calibri"/>
          <w:i/>
          <w:sz w:val="22"/>
        </w:rPr>
        <w:t xml:space="preserve"> sensing provides much smaller coverage than communication.</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suffer both significant </w:t>
      </w:r>
      <w:proofErr w:type="spellStart"/>
      <w:r>
        <w:rPr>
          <w:rFonts w:ascii="Calibri" w:eastAsia="바탕" w:hAnsi="Calibri" w:cs="Calibri"/>
          <w:i/>
          <w:sz w:val="22"/>
        </w:rPr>
        <w:t>pathloss</w:t>
      </w:r>
      <w:proofErr w:type="spellEnd"/>
      <w:r>
        <w:rPr>
          <w:rFonts w:ascii="Calibri" w:eastAsia="바탕" w:hAnsi="Calibri" w:cs="Calibri"/>
          <w:i/>
          <w:sz w:val="22"/>
        </w:rPr>
        <w:t xml:space="preserve"> due to the distance and limited service availability due to the absence of LOS to/from the object.</w:t>
      </w:r>
    </w:p>
    <w:p w:rsidR="009745F1" w:rsidRP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UE-UE </w:t>
      </w:r>
      <w:proofErr w:type="spellStart"/>
      <w:r>
        <w:rPr>
          <w:rFonts w:ascii="Calibri" w:eastAsia="바탕" w:hAnsi="Calibri" w:cs="Calibri"/>
          <w:i/>
          <w:sz w:val="22"/>
        </w:rPr>
        <w:t>bistatic</w:t>
      </w:r>
      <w:proofErr w:type="spellEnd"/>
      <w:r>
        <w:rPr>
          <w:rFonts w:ascii="Calibri" w:eastAsia="바탕" w:hAnsi="Calibri" w:cs="Calibri"/>
          <w:i/>
          <w:sz w:val="22"/>
        </w:rPr>
        <w:t xml:space="preserve"> or UE </w:t>
      </w:r>
      <w:proofErr w:type="spellStart"/>
      <w:r>
        <w:rPr>
          <w:rFonts w:ascii="Calibri" w:eastAsia="바탕" w:hAnsi="Calibri" w:cs="Calibri"/>
          <w:i/>
          <w:sz w:val="22"/>
        </w:rPr>
        <w:t>monotstatic</w:t>
      </w:r>
      <w:proofErr w:type="spellEnd"/>
      <w:r>
        <w:rPr>
          <w:rFonts w:ascii="Calibri" w:eastAsia="바탕" w:hAnsi="Calibri" w:cs="Calibri"/>
          <w:i/>
          <w:sz w:val="22"/>
        </w:rPr>
        <w:t xml:space="preserve"> sensing mode are the only sensing modes that can provide the sensing service in the out-of-network-coverage area.</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4</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Sensing modes that involves TRP(s) may provide a larger sensing service area, compared to one that involves UE(s) only.</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5</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TRP-UE or UE-TRP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may have benefits in the perspective of both coverage and availability of the sensing service.</w:t>
      </w:r>
    </w:p>
    <w:p w:rsidR="009745F1" w:rsidRPr="00283426"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6</w:t>
      </w:r>
      <w:r w:rsidRPr="00FC3A33">
        <w:rPr>
          <w:rFonts w:ascii="Calibri" w:eastAsia="바탕" w:hAnsi="Calibri" w:cs="Calibri"/>
          <w:b/>
          <w:i/>
          <w:sz w:val="22"/>
        </w:rPr>
        <w:t>:</w:t>
      </w:r>
      <w:r w:rsidRPr="00FC3A33">
        <w:rPr>
          <w:rFonts w:ascii="Calibri" w:eastAsia="바탕" w:hAnsi="Calibri" w:cs="Calibri"/>
          <w:i/>
          <w:sz w:val="22"/>
        </w:rPr>
        <w:t xml:space="preserve"> </w:t>
      </w:r>
      <w:proofErr w:type="spellStart"/>
      <w:r>
        <w:rPr>
          <w:rFonts w:ascii="Calibri" w:eastAsia="바탕" w:hAnsi="Calibri" w:cs="Calibri" w:hint="eastAsia"/>
          <w:i/>
          <w:sz w:val="22"/>
        </w:rPr>
        <w:t>Monostatic</w:t>
      </w:r>
      <w:proofErr w:type="spellEnd"/>
      <w:r>
        <w:rPr>
          <w:rFonts w:ascii="Calibri" w:eastAsia="바탕" w:hAnsi="Calibri" w:cs="Calibri" w:hint="eastAsia"/>
          <w:i/>
          <w:sz w:val="22"/>
        </w:rPr>
        <w:t xml:space="preserve"> sensing mode requires full duplex </w:t>
      </w:r>
      <w:r>
        <w:rPr>
          <w:rFonts w:ascii="Calibri" w:eastAsia="바탕" w:hAnsi="Calibri" w:cs="Calibri"/>
          <w:i/>
          <w:sz w:val="22"/>
        </w:rPr>
        <w:t>operation</w:t>
      </w:r>
      <w:r>
        <w:rPr>
          <w:rFonts w:ascii="Calibri" w:eastAsia="바탕" w:hAnsi="Calibri" w:cs="Calibri" w:hint="eastAsia"/>
          <w:i/>
          <w:sz w:val="22"/>
        </w:rPr>
        <w:t xml:space="preserve">, which is not required in </w:t>
      </w:r>
      <w:proofErr w:type="spellStart"/>
      <w:r>
        <w:rPr>
          <w:rFonts w:ascii="Calibri" w:eastAsia="바탕" w:hAnsi="Calibri" w:cs="Calibri" w:hint="eastAsia"/>
          <w:i/>
          <w:sz w:val="22"/>
        </w:rPr>
        <w:t>bistatic</w:t>
      </w:r>
      <w:proofErr w:type="spellEnd"/>
      <w:r>
        <w:rPr>
          <w:rFonts w:ascii="Calibri" w:eastAsia="바탕" w:hAnsi="Calibri" w:cs="Calibri" w:hint="eastAsia"/>
          <w:i/>
          <w:sz w:val="22"/>
        </w:rPr>
        <w:t xml:space="preserve"> sensing mode</w:t>
      </w:r>
      <w:r>
        <w:rPr>
          <w:rFonts w:ascii="Calibri" w:eastAsia="바탕" w:hAnsi="Calibri" w:cs="Calibri"/>
          <w:i/>
          <w:sz w:val="22"/>
        </w:rPr>
        <w:t>.</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Observation 7</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detection of UAV use case, TRP-TRP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mode can be deployed based on the observation that UAV can see a large number of TRPs, compared to UE on the ground.</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1</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evaluation scenario of TRP-related </w:t>
      </w:r>
      <w:proofErr w:type="spellStart"/>
      <w:r>
        <w:rPr>
          <w:rFonts w:ascii="Calibri" w:eastAsia="바탕" w:hAnsi="Calibri" w:cs="Calibri"/>
          <w:i/>
          <w:sz w:val="22"/>
        </w:rPr>
        <w:t>monostatic</w:t>
      </w:r>
      <w:proofErr w:type="spellEnd"/>
      <w:r>
        <w:rPr>
          <w:rFonts w:ascii="Calibri" w:eastAsia="바탕" w:hAnsi="Calibri" w:cs="Calibri"/>
          <w:i/>
          <w:sz w:val="22"/>
        </w:rPr>
        <w:t xml:space="preserve"> and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w:t>
      </w:r>
      <w:proofErr w:type="spellStart"/>
      <w:r>
        <w:rPr>
          <w:rFonts w:ascii="Calibri" w:eastAsia="바탕" w:hAnsi="Calibri" w:cs="Calibri"/>
          <w:i/>
          <w:sz w:val="22"/>
        </w:rPr>
        <w:t>UMa</w:t>
      </w:r>
      <w:proofErr w:type="spellEnd"/>
      <w:r>
        <w:rPr>
          <w:rFonts w:ascii="Calibri" w:eastAsia="바탕" w:hAnsi="Calibri" w:cs="Calibri"/>
          <w:i/>
          <w:sz w:val="22"/>
        </w:rPr>
        <w:t xml:space="preserve">, </w:t>
      </w:r>
      <w:proofErr w:type="spellStart"/>
      <w:r>
        <w:rPr>
          <w:rFonts w:ascii="Calibri" w:eastAsia="바탕" w:hAnsi="Calibri" w:cs="Calibri"/>
          <w:i/>
          <w:sz w:val="22"/>
        </w:rPr>
        <w:t>UMi</w:t>
      </w:r>
      <w:proofErr w:type="spellEnd"/>
      <w:r>
        <w:rPr>
          <w:rFonts w:ascii="Calibri" w:eastAsia="바탕" w:hAnsi="Calibri" w:cs="Calibri"/>
          <w:i/>
          <w:sz w:val="22"/>
        </w:rPr>
        <w:t xml:space="preserve">, </w:t>
      </w:r>
      <w:proofErr w:type="spellStart"/>
      <w:r>
        <w:rPr>
          <w:rFonts w:ascii="Calibri" w:eastAsia="바탕" w:hAnsi="Calibri" w:cs="Calibri"/>
          <w:i/>
          <w:sz w:val="22"/>
        </w:rPr>
        <w:t>RMa</w:t>
      </w:r>
      <w:proofErr w:type="spellEnd"/>
      <w:r>
        <w:rPr>
          <w:rFonts w:ascii="Calibri" w:eastAsia="바탕" w:hAnsi="Calibri" w:cs="Calibri"/>
          <w:i/>
          <w:sz w:val="22"/>
        </w:rPr>
        <w:t>, indoor office and indoor factory scenario defined in TR38.901 are reused for outdoor and indoor use case.</w:t>
      </w:r>
    </w:p>
    <w:p w:rsidR="009745F1" w:rsidRDefault="009745F1" w:rsidP="009745F1">
      <w:pPr>
        <w:wordWrap/>
        <w:adjustRightInd w:val="0"/>
        <w:snapToGrid w:val="0"/>
        <w:spacing w:before="100" w:beforeAutospacing="1" w:after="100" w:afterAutospacing="1" w:line="264" w:lineRule="auto"/>
        <w:rPr>
          <w:rFonts w:ascii="Calibri" w:eastAsia="바탕" w:hAnsi="Calibri" w:cs="Calibri"/>
          <w:i/>
          <w:sz w:val="22"/>
        </w:rPr>
      </w:pPr>
      <w:r>
        <w:rPr>
          <w:rFonts w:ascii="Calibri" w:eastAsia="바탕" w:hAnsi="Calibri" w:cs="Calibri"/>
          <w:b/>
          <w:i/>
          <w:sz w:val="22"/>
        </w:rPr>
        <w:t>Proposal 2</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evaluation scenario of UE-only-related </w:t>
      </w:r>
      <w:proofErr w:type="spellStart"/>
      <w:r>
        <w:rPr>
          <w:rFonts w:ascii="Calibri" w:eastAsia="바탕" w:hAnsi="Calibri" w:cs="Calibri"/>
          <w:i/>
          <w:sz w:val="22"/>
        </w:rPr>
        <w:t>monostatic</w:t>
      </w:r>
      <w:proofErr w:type="spellEnd"/>
      <w:r>
        <w:rPr>
          <w:rFonts w:ascii="Calibri" w:eastAsia="바탕" w:hAnsi="Calibri" w:cs="Calibri"/>
          <w:i/>
          <w:sz w:val="22"/>
        </w:rPr>
        <w:t xml:space="preserve"> and </w:t>
      </w:r>
      <w:proofErr w:type="spellStart"/>
      <w:r>
        <w:rPr>
          <w:rFonts w:ascii="Calibri" w:eastAsia="바탕" w:hAnsi="Calibri" w:cs="Calibri"/>
          <w:i/>
          <w:sz w:val="22"/>
        </w:rPr>
        <w:t>bistatic</w:t>
      </w:r>
      <w:proofErr w:type="spellEnd"/>
      <w:r>
        <w:rPr>
          <w:rFonts w:ascii="Calibri" w:eastAsia="바탕" w:hAnsi="Calibri" w:cs="Calibri"/>
          <w:i/>
          <w:sz w:val="22"/>
        </w:rPr>
        <w:t xml:space="preserve"> sensing, urban grid and highway for V2X defined in TR37.885 are reused.</w:t>
      </w:r>
    </w:p>
    <w:p w:rsidR="009745F1" w:rsidRPr="009745F1" w:rsidRDefault="009745F1" w:rsidP="009745F1">
      <w:pPr>
        <w:wordWrap/>
        <w:adjustRightInd w:val="0"/>
        <w:snapToGrid w:val="0"/>
        <w:spacing w:before="100" w:beforeAutospacing="1" w:after="100" w:afterAutospacing="1" w:line="264" w:lineRule="auto"/>
        <w:rPr>
          <w:rFonts w:ascii="Calibri" w:eastAsia="바탕" w:hAnsi="Calibri" w:cs="Calibri" w:hint="eastAsia"/>
          <w:i/>
          <w:sz w:val="22"/>
        </w:rPr>
      </w:pPr>
      <w:r>
        <w:rPr>
          <w:rFonts w:ascii="Calibri" w:eastAsia="바탕" w:hAnsi="Calibri" w:cs="Calibri"/>
          <w:b/>
          <w:i/>
          <w:sz w:val="22"/>
        </w:rPr>
        <w:t>Proposal 3</w:t>
      </w:r>
      <w:r w:rsidRPr="00FC3A33">
        <w:rPr>
          <w:rFonts w:ascii="Calibri" w:eastAsia="바탕" w:hAnsi="Calibri" w:cs="Calibri"/>
          <w:b/>
          <w:i/>
          <w:sz w:val="22"/>
        </w:rPr>
        <w:t>:</w:t>
      </w:r>
      <w:r w:rsidRPr="00FC3A33">
        <w:rPr>
          <w:rFonts w:ascii="Calibri" w:eastAsia="바탕" w:hAnsi="Calibri" w:cs="Calibri"/>
          <w:i/>
          <w:sz w:val="22"/>
        </w:rPr>
        <w:t xml:space="preserve"> </w:t>
      </w:r>
      <w:r>
        <w:rPr>
          <w:rFonts w:ascii="Calibri" w:eastAsia="바탕" w:hAnsi="Calibri" w:cs="Calibri"/>
          <w:i/>
          <w:sz w:val="22"/>
        </w:rPr>
        <w:t xml:space="preserve">For UAV detection use case, </w:t>
      </w:r>
      <w:proofErr w:type="spellStart"/>
      <w:r>
        <w:rPr>
          <w:rFonts w:ascii="Calibri" w:eastAsia="바탕" w:hAnsi="Calibri" w:cs="Calibri"/>
          <w:i/>
          <w:sz w:val="22"/>
        </w:rPr>
        <w:t>UMi</w:t>
      </w:r>
      <w:proofErr w:type="spellEnd"/>
      <w:r>
        <w:rPr>
          <w:rFonts w:ascii="Calibri" w:eastAsia="바탕" w:hAnsi="Calibri" w:cs="Calibri"/>
          <w:i/>
          <w:sz w:val="22"/>
        </w:rPr>
        <w:t xml:space="preserve">-AV, </w:t>
      </w:r>
      <w:proofErr w:type="spellStart"/>
      <w:r>
        <w:rPr>
          <w:rFonts w:ascii="Calibri" w:eastAsia="바탕" w:hAnsi="Calibri" w:cs="Calibri"/>
          <w:i/>
          <w:sz w:val="22"/>
        </w:rPr>
        <w:t>UMa</w:t>
      </w:r>
      <w:proofErr w:type="spellEnd"/>
      <w:r>
        <w:rPr>
          <w:rFonts w:ascii="Calibri" w:eastAsia="바탕" w:hAnsi="Calibri" w:cs="Calibri"/>
          <w:i/>
          <w:sz w:val="22"/>
        </w:rPr>
        <w:t xml:space="preserve">-AV, </w:t>
      </w:r>
      <w:proofErr w:type="spellStart"/>
      <w:r>
        <w:rPr>
          <w:rFonts w:ascii="Calibri" w:eastAsia="바탕" w:hAnsi="Calibri" w:cs="Calibri"/>
          <w:i/>
          <w:sz w:val="22"/>
        </w:rPr>
        <w:t>RMa</w:t>
      </w:r>
      <w:proofErr w:type="spellEnd"/>
      <w:r>
        <w:rPr>
          <w:rFonts w:ascii="Calibri" w:eastAsia="바탕" w:hAnsi="Calibri" w:cs="Calibri"/>
          <w:i/>
          <w:sz w:val="22"/>
        </w:rPr>
        <w:t>-AV defined in TR36.777 are the starting point of the evaluation scenarios.</w:t>
      </w:r>
    </w:p>
    <w:p w:rsidR="004D5EEE" w:rsidRPr="008B2BE5" w:rsidRDefault="004D5EEE" w:rsidP="004D5EEE">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Pr>
          <w:rFonts w:ascii="Arial" w:eastAsia="바탕" w:hAnsi="Arial" w:cs="Times New Roman"/>
          <w:kern w:val="0"/>
          <w:sz w:val="32"/>
          <w:szCs w:val="28"/>
          <w:lang w:eastAsia="en-US"/>
        </w:rPr>
        <w:lastRenderedPageBreak/>
        <w:t>References</w:t>
      </w:r>
    </w:p>
    <w:p w:rsidR="004D5EEE" w:rsidRDefault="004D5EEE" w:rsidP="004D5EEE">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sz w:val="22"/>
        </w:rPr>
        <w:t>[1] RP-234016, “</w:t>
      </w:r>
      <w:r w:rsidRPr="004D5EEE">
        <w:rPr>
          <w:rFonts w:ascii="Calibri" w:eastAsia="바탕" w:hAnsi="Calibri" w:cs="Calibri"/>
          <w:sz w:val="22"/>
        </w:rPr>
        <w:t xml:space="preserve">New SID: Study on channel modelling for Integrated Sensing </w:t>
      </w:r>
      <w:proofErr w:type="gramStart"/>
      <w:r w:rsidRPr="004D5EEE">
        <w:rPr>
          <w:rFonts w:ascii="Calibri" w:eastAsia="바탕" w:hAnsi="Calibri" w:cs="Calibri"/>
          <w:sz w:val="22"/>
        </w:rPr>
        <w:t>And</w:t>
      </w:r>
      <w:proofErr w:type="gramEnd"/>
      <w:r w:rsidRPr="004D5EEE">
        <w:rPr>
          <w:rFonts w:ascii="Calibri" w:eastAsia="바탕" w:hAnsi="Calibri" w:cs="Calibri"/>
          <w:sz w:val="22"/>
        </w:rPr>
        <w:t xml:space="preserve"> Communication (ISAC) for NR</w:t>
      </w:r>
      <w:r>
        <w:rPr>
          <w:rFonts w:ascii="Calibri" w:eastAsia="바탕" w:hAnsi="Calibri" w:cs="Calibri"/>
          <w:sz w:val="22"/>
        </w:rPr>
        <w:t>,” Nokia, Dec. 2023</w:t>
      </w:r>
    </w:p>
    <w:p w:rsidR="008541E8" w:rsidRPr="008541E8" w:rsidRDefault="008541E8" w:rsidP="004D5EEE">
      <w:pPr>
        <w:wordWrap/>
        <w:adjustRightInd w:val="0"/>
        <w:snapToGrid w:val="0"/>
        <w:spacing w:before="100" w:beforeAutospacing="1" w:afterLines="50" w:after="120" w:line="264" w:lineRule="auto"/>
        <w:rPr>
          <w:rFonts w:ascii="Calibri" w:eastAsia="바탕" w:hAnsi="Calibri" w:cs="Calibri"/>
          <w:sz w:val="22"/>
          <w:lang w:val="en-GB"/>
        </w:rPr>
      </w:pPr>
      <w:r>
        <w:rPr>
          <w:rFonts w:ascii="Calibri" w:eastAsia="바탕" w:hAnsi="Calibri" w:cs="Calibri"/>
          <w:sz w:val="22"/>
        </w:rPr>
        <w:t>[2] TR 36.777, “</w:t>
      </w:r>
      <w:r w:rsidRPr="008541E8">
        <w:rPr>
          <w:rFonts w:ascii="Calibri" w:eastAsia="바탕" w:hAnsi="Calibri" w:cs="Calibri"/>
          <w:sz w:val="22"/>
        </w:rPr>
        <w:t>Study on Enhanced LTE Support for Aerial Vehicles</w:t>
      </w:r>
      <w:r>
        <w:rPr>
          <w:rFonts w:ascii="Calibri" w:eastAsia="바탕" w:hAnsi="Calibri" w:cs="Calibri"/>
          <w:sz w:val="22"/>
        </w:rPr>
        <w:t>,” v15.0.0, 3GPP, Dec. 2017</w:t>
      </w:r>
    </w:p>
    <w:p w:rsidR="004D5EEE" w:rsidRDefault="0006476A" w:rsidP="004D5EEE">
      <w:pPr>
        <w:wordWrap/>
        <w:adjustRightInd w:val="0"/>
        <w:snapToGrid w:val="0"/>
        <w:spacing w:before="100" w:beforeAutospacing="1" w:afterLines="50" w:after="120" w:line="264" w:lineRule="auto"/>
        <w:rPr>
          <w:rFonts w:ascii="Calibri" w:eastAsia="바탕" w:hAnsi="Calibri" w:cs="Calibri"/>
          <w:sz w:val="22"/>
        </w:rPr>
      </w:pPr>
      <w:r>
        <w:rPr>
          <w:rFonts w:ascii="Calibri" w:eastAsia="바탕" w:hAnsi="Calibri" w:cs="Calibri" w:hint="eastAsia"/>
          <w:sz w:val="22"/>
        </w:rPr>
        <w:t xml:space="preserve">[3] TR 38.901, </w:t>
      </w:r>
      <w:r>
        <w:rPr>
          <w:rFonts w:ascii="Calibri" w:eastAsia="바탕" w:hAnsi="Calibri" w:cs="Calibri"/>
          <w:sz w:val="22"/>
        </w:rPr>
        <w:t>“</w:t>
      </w:r>
      <w:r w:rsidRPr="0006476A">
        <w:rPr>
          <w:rFonts w:ascii="Calibri" w:eastAsia="바탕" w:hAnsi="Calibri" w:cs="Calibri"/>
          <w:sz w:val="22"/>
        </w:rPr>
        <w:t>Study on channel model for frequencies from 0.5 to 100 GHz</w:t>
      </w:r>
      <w:r>
        <w:rPr>
          <w:rFonts w:ascii="Calibri" w:eastAsia="바탕" w:hAnsi="Calibri" w:cs="Calibri"/>
          <w:sz w:val="22"/>
        </w:rPr>
        <w:t>,” v17.1.0, 3GPP, Dec. 2023</w:t>
      </w:r>
    </w:p>
    <w:p w:rsidR="0006476A" w:rsidRPr="0006476A" w:rsidRDefault="0006476A" w:rsidP="004D5EEE">
      <w:pPr>
        <w:wordWrap/>
        <w:adjustRightInd w:val="0"/>
        <w:snapToGrid w:val="0"/>
        <w:spacing w:before="100" w:beforeAutospacing="1" w:afterLines="50" w:after="120" w:line="264" w:lineRule="auto"/>
        <w:rPr>
          <w:rFonts w:ascii="Calibri" w:eastAsia="바탕" w:hAnsi="Calibri" w:cs="Calibri"/>
          <w:sz w:val="22"/>
          <w:lang w:val="en-GB"/>
        </w:rPr>
      </w:pPr>
      <w:r>
        <w:rPr>
          <w:rFonts w:ascii="Calibri" w:eastAsia="바탕" w:hAnsi="Calibri" w:cs="Calibri"/>
          <w:sz w:val="22"/>
        </w:rPr>
        <w:t>[4] TR 37.885, “</w:t>
      </w:r>
      <w:r w:rsidRPr="0006476A">
        <w:rPr>
          <w:rFonts w:ascii="Calibri" w:eastAsia="바탕" w:hAnsi="Calibri" w:cs="Calibri"/>
          <w:sz w:val="22"/>
        </w:rPr>
        <w:t>Study on evaluation methodology of new Vehicle-to-Everything (V2X) use cases for LTE and NR</w:t>
      </w:r>
      <w:r>
        <w:rPr>
          <w:rFonts w:ascii="Calibri" w:eastAsia="바탕" w:hAnsi="Calibri" w:cs="Calibri"/>
          <w:sz w:val="22"/>
        </w:rPr>
        <w:t>,” v15.3.0, 3GPP, Jun. 2019</w:t>
      </w:r>
    </w:p>
    <w:sectPr w:rsidR="0006476A" w:rsidRPr="0006476A" w:rsidSect="00C109EC">
      <w:footerReference w:type="even" r:id="rId12"/>
      <w:footerReference w:type="default" r:id="rId13"/>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E00" w:rsidRDefault="00355E00">
      <w:pPr>
        <w:spacing w:after="0" w:line="240" w:lineRule="auto"/>
      </w:pPr>
      <w:r>
        <w:separator/>
      </w:r>
    </w:p>
  </w:endnote>
  <w:endnote w:type="continuationSeparator" w:id="0">
    <w:p w:rsidR="00355E00" w:rsidRDefault="0035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03719A" w:rsidRDefault="0003719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19A" w:rsidRDefault="0003719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72BF0">
      <w:rPr>
        <w:rStyle w:val="a8"/>
        <w:noProof/>
      </w:rPr>
      <w:t>6</w:t>
    </w:r>
    <w:r>
      <w:rPr>
        <w:rStyle w:val="a8"/>
      </w:rPr>
      <w:fldChar w:fldCharType="end"/>
    </w:r>
  </w:p>
  <w:p w:rsidR="0003719A" w:rsidRDefault="0003719A">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E00" w:rsidRDefault="00355E00">
      <w:pPr>
        <w:spacing w:after="0" w:line="240" w:lineRule="auto"/>
      </w:pPr>
      <w:r>
        <w:separator/>
      </w:r>
    </w:p>
  </w:footnote>
  <w:footnote w:type="continuationSeparator" w:id="0">
    <w:p w:rsidR="00355E00" w:rsidRDefault="00355E0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72419CC"/>
    <w:multiLevelType w:val="hybridMultilevel"/>
    <w:tmpl w:val="1F964848"/>
    <w:lvl w:ilvl="0" w:tplc="EF040AB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FE2769D"/>
    <w:multiLevelType w:val="hybridMultilevel"/>
    <w:tmpl w:val="E89665FE"/>
    <w:lvl w:ilvl="0" w:tplc="B256FBB4">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nsid w:val="13945B10"/>
    <w:multiLevelType w:val="hybridMultilevel"/>
    <w:tmpl w:val="7BAC13C4"/>
    <w:lvl w:ilvl="0" w:tplc="F9282A8A">
      <w:numFmt w:val="bullet"/>
      <w:lvlText w:val=""/>
      <w:lvlJc w:val="left"/>
      <w:pPr>
        <w:ind w:left="785" w:hanging="360"/>
      </w:pPr>
      <w:rPr>
        <w:rFonts w:ascii="Wingdings" w:eastAsia="바탕" w:hAnsi="Wingdings" w:cs="Calibri"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1DF611B9"/>
    <w:multiLevelType w:val="hybridMultilevel"/>
    <w:tmpl w:val="E1C62522"/>
    <w:lvl w:ilvl="0" w:tplc="D4DEF670">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9">
    <w:nsid w:val="24266E8F"/>
    <w:multiLevelType w:val="hybridMultilevel"/>
    <w:tmpl w:val="B08A11AA"/>
    <w:lvl w:ilvl="0" w:tplc="E8A005E0">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311D5B32"/>
    <w:multiLevelType w:val="hybridMultilevel"/>
    <w:tmpl w:val="0158C5BC"/>
    <w:lvl w:ilvl="0" w:tplc="64383CAC">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446753"/>
    <w:multiLevelType w:val="hybridMultilevel"/>
    <w:tmpl w:val="DB748A1C"/>
    <w:lvl w:ilvl="0" w:tplc="1BBE979C">
      <w:numFmt w:val="bullet"/>
      <w:lvlText w:val=""/>
      <w:lvlJc w:val="left"/>
      <w:pPr>
        <w:ind w:left="760" w:hanging="360"/>
      </w:pPr>
      <w:rPr>
        <w:rFonts w:ascii="Wingdings" w:eastAsia="바탕" w:hAnsi="Wingdings"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4F70D5B"/>
    <w:multiLevelType w:val="hybridMultilevel"/>
    <w:tmpl w:val="6CBA9B8E"/>
    <w:lvl w:ilvl="0" w:tplc="BF56BEDA">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A610597"/>
    <w:multiLevelType w:val="hybridMultilevel"/>
    <w:tmpl w:val="F75C33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40" w:hanging="360"/>
      </w:pPr>
      <w:rPr>
        <w:rFonts w:ascii="Courier New" w:hAnsi="Courier New" w:cs="Courier New" w:hint="default"/>
      </w:rPr>
    </w:lvl>
    <w:lvl w:ilvl="2" w:tplc="04090005">
      <w:start w:val="1"/>
      <w:numFmt w:val="bullet"/>
      <w:lvlText w:val=""/>
      <w:lvlJc w:val="left"/>
      <w:pPr>
        <w:ind w:left="1760" w:hanging="360"/>
      </w:pPr>
      <w:rPr>
        <w:rFonts w:ascii="Wingdings" w:hAnsi="Wingdings" w:hint="default"/>
      </w:rPr>
    </w:lvl>
    <w:lvl w:ilvl="3" w:tplc="04090001">
      <w:start w:val="1"/>
      <w:numFmt w:val="bullet"/>
      <w:lvlText w:val=""/>
      <w:lvlJc w:val="left"/>
      <w:pPr>
        <w:ind w:left="2480" w:hanging="360"/>
      </w:pPr>
      <w:rPr>
        <w:rFonts w:ascii="Symbol" w:hAnsi="Symbol" w:hint="default"/>
      </w:rPr>
    </w:lvl>
    <w:lvl w:ilvl="4" w:tplc="04090003">
      <w:start w:val="1"/>
      <w:numFmt w:val="bullet"/>
      <w:lvlText w:val="o"/>
      <w:lvlJc w:val="left"/>
      <w:pPr>
        <w:ind w:left="3200" w:hanging="360"/>
      </w:pPr>
      <w:rPr>
        <w:rFonts w:ascii="Courier New" w:hAnsi="Courier New" w:cs="Courier New" w:hint="default"/>
      </w:rPr>
    </w:lvl>
    <w:lvl w:ilvl="5" w:tplc="04090005">
      <w:start w:val="1"/>
      <w:numFmt w:val="bullet"/>
      <w:lvlText w:val=""/>
      <w:lvlJc w:val="left"/>
      <w:pPr>
        <w:ind w:left="3920" w:hanging="360"/>
      </w:pPr>
      <w:rPr>
        <w:rFonts w:ascii="Wingdings" w:hAnsi="Wingdings" w:hint="default"/>
      </w:rPr>
    </w:lvl>
    <w:lvl w:ilvl="6" w:tplc="04090001">
      <w:start w:val="1"/>
      <w:numFmt w:val="bullet"/>
      <w:lvlText w:val=""/>
      <w:lvlJc w:val="left"/>
      <w:pPr>
        <w:ind w:left="4640" w:hanging="360"/>
      </w:pPr>
      <w:rPr>
        <w:rFonts w:ascii="Symbol" w:hAnsi="Symbol" w:hint="default"/>
      </w:rPr>
    </w:lvl>
    <w:lvl w:ilvl="7" w:tplc="04090003">
      <w:start w:val="1"/>
      <w:numFmt w:val="bullet"/>
      <w:lvlText w:val="o"/>
      <w:lvlJc w:val="left"/>
      <w:pPr>
        <w:ind w:left="5360" w:hanging="360"/>
      </w:pPr>
      <w:rPr>
        <w:rFonts w:ascii="Courier New" w:hAnsi="Courier New" w:cs="Courier New" w:hint="default"/>
      </w:rPr>
    </w:lvl>
    <w:lvl w:ilvl="8" w:tplc="04090005">
      <w:start w:val="1"/>
      <w:numFmt w:val="bullet"/>
      <w:lvlText w:val=""/>
      <w:lvlJc w:val="left"/>
      <w:pPr>
        <w:ind w:left="6080" w:hanging="360"/>
      </w:pPr>
      <w:rPr>
        <w:rFonts w:ascii="Wingdings" w:hAnsi="Wingdings" w:hint="default"/>
      </w:rPr>
    </w:lvl>
  </w:abstractNum>
  <w:abstractNum w:abstractNumId="24">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6">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31">
    <w:nsid w:val="7E4443DD"/>
    <w:multiLevelType w:val="hybridMultilevel"/>
    <w:tmpl w:val="1248D44A"/>
    <w:lvl w:ilvl="0" w:tplc="31B2E9C6">
      <w:start w:val="1"/>
      <w:numFmt w:val="bullet"/>
      <w:lvlText w:val=""/>
      <w:lvlJc w:val="left"/>
      <w:pPr>
        <w:ind w:left="760" w:hanging="360"/>
      </w:pPr>
      <w:rPr>
        <w:rFonts w:ascii="Wingdings" w:eastAsia="바탕"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28"/>
  </w:num>
  <w:num w:numId="3">
    <w:abstractNumId w:val="30"/>
  </w:num>
  <w:num w:numId="4">
    <w:abstractNumId w:val="17"/>
  </w:num>
  <w:num w:numId="5">
    <w:abstractNumId w:val="25"/>
  </w:num>
  <w:num w:numId="6">
    <w:abstractNumId w:val="13"/>
  </w:num>
  <w:num w:numId="7">
    <w:abstractNumId w:val="18"/>
  </w:num>
  <w:num w:numId="8">
    <w:abstractNumId w:val="27"/>
  </w:num>
  <w:num w:numId="9">
    <w:abstractNumId w:val="29"/>
  </w:num>
  <w:num w:numId="10">
    <w:abstractNumId w:val="7"/>
  </w:num>
  <w:num w:numId="11">
    <w:abstractNumId w:val="22"/>
  </w:num>
  <w:num w:numId="12">
    <w:abstractNumId w:val="15"/>
  </w:num>
  <w:num w:numId="13">
    <w:abstractNumId w:val="2"/>
  </w:num>
  <w:num w:numId="14">
    <w:abstractNumId w:val="0"/>
  </w:num>
  <w:num w:numId="15">
    <w:abstractNumId w:val="26"/>
  </w:num>
  <w:num w:numId="16">
    <w:abstractNumId w:val="20"/>
  </w:num>
  <w:num w:numId="17">
    <w:abstractNumId w:val="16"/>
  </w:num>
  <w:num w:numId="18">
    <w:abstractNumId w:val="9"/>
  </w:num>
  <w:num w:numId="19">
    <w:abstractNumId w:val="3"/>
  </w:num>
  <w:num w:numId="20">
    <w:abstractNumId w:val="19"/>
  </w:num>
  <w:num w:numId="21">
    <w:abstractNumId w:val="23"/>
  </w:num>
  <w:num w:numId="22">
    <w:abstractNumId w:val="12"/>
  </w:num>
  <w:num w:numId="23">
    <w:abstractNumId w:val="21"/>
  </w:num>
  <w:num w:numId="24">
    <w:abstractNumId w:val="31"/>
  </w:num>
  <w:num w:numId="25">
    <w:abstractNumId w:val="11"/>
  </w:num>
  <w:num w:numId="26">
    <w:abstractNumId w:val="1"/>
  </w:num>
  <w:num w:numId="27">
    <w:abstractNumId w:val="4"/>
  </w:num>
  <w:num w:numId="28">
    <w:abstractNumId w:val="8"/>
  </w:num>
  <w:num w:numId="29">
    <w:abstractNumId w:val="24"/>
  </w:num>
  <w:num w:numId="30">
    <w:abstractNumId w:val="6"/>
  </w:num>
  <w:num w:numId="31">
    <w:abstractNumId w:val="14"/>
  </w:num>
  <w:num w:numId="32">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A7F"/>
    <w:rsid w:val="00006BA2"/>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4C7F"/>
    <w:rsid w:val="000353B5"/>
    <w:rsid w:val="00035A25"/>
    <w:rsid w:val="00035E88"/>
    <w:rsid w:val="00036196"/>
    <w:rsid w:val="00036296"/>
    <w:rsid w:val="0003630A"/>
    <w:rsid w:val="000365EE"/>
    <w:rsid w:val="00036CF8"/>
    <w:rsid w:val="0003719A"/>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2917"/>
    <w:rsid w:val="0006476A"/>
    <w:rsid w:val="00064C36"/>
    <w:rsid w:val="00064E0D"/>
    <w:rsid w:val="000657A8"/>
    <w:rsid w:val="00065CE5"/>
    <w:rsid w:val="000709A6"/>
    <w:rsid w:val="000718BF"/>
    <w:rsid w:val="000735EC"/>
    <w:rsid w:val="00073773"/>
    <w:rsid w:val="00074A17"/>
    <w:rsid w:val="00077054"/>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ABE"/>
    <w:rsid w:val="000C2285"/>
    <w:rsid w:val="000C38FF"/>
    <w:rsid w:val="000C41F4"/>
    <w:rsid w:val="000C503C"/>
    <w:rsid w:val="000C5C3F"/>
    <w:rsid w:val="000C5C7C"/>
    <w:rsid w:val="000C7274"/>
    <w:rsid w:val="000D0510"/>
    <w:rsid w:val="000D0D04"/>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48CC"/>
    <w:rsid w:val="000F4C83"/>
    <w:rsid w:val="000F6A0C"/>
    <w:rsid w:val="000F7689"/>
    <w:rsid w:val="000F7E1D"/>
    <w:rsid w:val="00100197"/>
    <w:rsid w:val="00100590"/>
    <w:rsid w:val="00102B4D"/>
    <w:rsid w:val="001048DE"/>
    <w:rsid w:val="001056F2"/>
    <w:rsid w:val="001075DD"/>
    <w:rsid w:val="00112DC3"/>
    <w:rsid w:val="00113367"/>
    <w:rsid w:val="0011634A"/>
    <w:rsid w:val="00116DD3"/>
    <w:rsid w:val="00117EC5"/>
    <w:rsid w:val="00124560"/>
    <w:rsid w:val="001268E3"/>
    <w:rsid w:val="00130344"/>
    <w:rsid w:val="0013097A"/>
    <w:rsid w:val="00131B6F"/>
    <w:rsid w:val="001323EA"/>
    <w:rsid w:val="001324E2"/>
    <w:rsid w:val="0013514B"/>
    <w:rsid w:val="001351A0"/>
    <w:rsid w:val="00135811"/>
    <w:rsid w:val="00135E21"/>
    <w:rsid w:val="00136DB8"/>
    <w:rsid w:val="001423F0"/>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11AB"/>
    <w:rsid w:val="001B14CC"/>
    <w:rsid w:val="001B45D4"/>
    <w:rsid w:val="001B4FA4"/>
    <w:rsid w:val="001B4FE0"/>
    <w:rsid w:val="001B7B3D"/>
    <w:rsid w:val="001C0D87"/>
    <w:rsid w:val="001C1659"/>
    <w:rsid w:val="001C3114"/>
    <w:rsid w:val="001C5EE6"/>
    <w:rsid w:val="001C6241"/>
    <w:rsid w:val="001D0485"/>
    <w:rsid w:val="001D120D"/>
    <w:rsid w:val="001D1F50"/>
    <w:rsid w:val="001D243C"/>
    <w:rsid w:val="001D2EA5"/>
    <w:rsid w:val="001D6C45"/>
    <w:rsid w:val="001E0BF5"/>
    <w:rsid w:val="001E10DC"/>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D42"/>
    <w:rsid w:val="002162C9"/>
    <w:rsid w:val="0021640D"/>
    <w:rsid w:val="00217F12"/>
    <w:rsid w:val="00223A23"/>
    <w:rsid w:val="00224048"/>
    <w:rsid w:val="002251DE"/>
    <w:rsid w:val="00225504"/>
    <w:rsid w:val="00227272"/>
    <w:rsid w:val="002304E0"/>
    <w:rsid w:val="00231D6D"/>
    <w:rsid w:val="002324CC"/>
    <w:rsid w:val="0023268E"/>
    <w:rsid w:val="002358AA"/>
    <w:rsid w:val="00235DC8"/>
    <w:rsid w:val="002400AB"/>
    <w:rsid w:val="002406D6"/>
    <w:rsid w:val="00241B6F"/>
    <w:rsid w:val="0024216D"/>
    <w:rsid w:val="00242373"/>
    <w:rsid w:val="00245B93"/>
    <w:rsid w:val="002508C2"/>
    <w:rsid w:val="002509F9"/>
    <w:rsid w:val="00250CC3"/>
    <w:rsid w:val="00251EE9"/>
    <w:rsid w:val="002530CC"/>
    <w:rsid w:val="002553FD"/>
    <w:rsid w:val="002558F0"/>
    <w:rsid w:val="00256E76"/>
    <w:rsid w:val="002626CE"/>
    <w:rsid w:val="00263966"/>
    <w:rsid w:val="0026615E"/>
    <w:rsid w:val="002665A6"/>
    <w:rsid w:val="00267807"/>
    <w:rsid w:val="002711B8"/>
    <w:rsid w:val="00272083"/>
    <w:rsid w:val="002722A5"/>
    <w:rsid w:val="002743C6"/>
    <w:rsid w:val="002758FA"/>
    <w:rsid w:val="00276D45"/>
    <w:rsid w:val="00276D94"/>
    <w:rsid w:val="002771D1"/>
    <w:rsid w:val="00277763"/>
    <w:rsid w:val="00277FD5"/>
    <w:rsid w:val="002800D5"/>
    <w:rsid w:val="00280A69"/>
    <w:rsid w:val="00281BD9"/>
    <w:rsid w:val="002822B9"/>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B1EB4"/>
    <w:rsid w:val="002B204A"/>
    <w:rsid w:val="002B436E"/>
    <w:rsid w:val="002B5256"/>
    <w:rsid w:val="002B58BD"/>
    <w:rsid w:val="002B7425"/>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3D2C"/>
    <w:rsid w:val="002E419A"/>
    <w:rsid w:val="002E4386"/>
    <w:rsid w:val="002E4F84"/>
    <w:rsid w:val="002E7850"/>
    <w:rsid w:val="002F1604"/>
    <w:rsid w:val="002F1D26"/>
    <w:rsid w:val="002F5E62"/>
    <w:rsid w:val="002F6AE7"/>
    <w:rsid w:val="00300DB5"/>
    <w:rsid w:val="00301B7F"/>
    <w:rsid w:val="00302D80"/>
    <w:rsid w:val="00304345"/>
    <w:rsid w:val="00305818"/>
    <w:rsid w:val="00305F28"/>
    <w:rsid w:val="003061C7"/>
    <w:rsid w:val="003076B7"/>
    <w:rsid w:val="00307F0A"/>
    <w:rsid w:val="00311822"/>
    <w:rsid w:val="00311E5B"/>
    <w:rsid w:val="00312375"/>
    <w:rsid w:val="00312D95"/>
    <w:rsid w:val="00312F1A"/>
    <w:rsid w:val="00313CA1"/>
    <w:rsid w:val="00315D65"/>
    <w:rsid w:val="003161E5"/>
    <w:rsid w:val="003165BF"/>
    <w:rsid w:val="00320CC4"/>
    <w:rsid w:val="00320EDC"/>
    <w:rsid w:val="00321359"/>
    <w:rsid w:val="003219B0"/>
    <w:rsid w:val="00321C7D"/>
    <w:rsid w:val="0032744C"/>
    <w:rsid w:val="0033155A"/>
    <w:rsid w:val="00331DEA"/>
    <w:rsid w:val="003331BB"/>
    <w:rsid w:val="003332F9"/>
    <w:rsid w:val="00333FD6"/>
    <w:rsid w:val="0033473C"/>
    <w:rsid w:val="00336EA7"/>
    <w:rsid w:val="0033731C"/>
    <w:rsid w:val="00342AF2"/>
    <w:rsid w:val="003464E1"/>
    <w:rsid w:val="00346601"/>
    <w:rsid w:val="00347025"/>
    <w:rsid w:val="00347622"/>
    <w:rsid w:val="00351BA4"/>
    <w:rsid w:val="00352EC5"/>
    <w:rsid w:val="00353F78"/>
    <w:rsid w:val="00354841"/>
    <w:rsid w:val="003559E7"/>
    <w:rsid w:val="00355E00"/>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A7"/>
    <w:rsid w:val="00372AEC"/>
    <w:rsid w:val="00372B2E"/>
    <w:rsid w:val="00374992"/>
    <w:rsid w:val="00375651"/>
    <w:rsid w:val="00376569"/>
    <w:rsid w:val="0038094D"/>
    <w:rsid w:val="00382219"/>
    <w:rsid w:val="003852A4"/>
    <w:rsid w:val="00385743"/>
    <w:rsid w:val="0038585F"/>
    <w:rsid w:val="003866DB"/>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40305A"/>
    <w:rsid w:val="004037D4"/>
    <w:rsid w:val="00410F61"/>
    <w:rsid w:val="004117B9"/>
    <w:rsid w:val="004142E5"/>
    <w:rsid w:val="004158EA"/>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151D"/>
    <w:rsid w:val="0043186D"/>
    <w:rsid w:val="0043342A"/>
    <w:rsid w:val="00433876"/>
    <w:rsid w:val="0043458C"/>
    <w:rsid w:val="00435016"/>
    <w:rsid w:val="00440058"/>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3979"/>
    <w:rsid w:val="00473E0C"/>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7CF7"/>
    <w:rsid w:val="004B1029"/>
    <w:rsid w:val="004B1411"/>
    <w:rsid w:val="004B1986"/>
    <w:rsid w:val="004B520C"/>
    <w:rsid w:val="004C06F5"/>
    <w:rsid w:val="004C0CAF"/>
    <w:rsid w:val="004C0D93"/>
    <w:rsid w:val="004C148B"/>
    <w:rsid w:val="004C1997"/>
    <w:rsid w:val="004C5F6D"/>
    <w:rsid w:val="004C7404"/>
    <w:rsid w:val="004D2D81"/>
    <w:rsid w:val="004D4819"/>
    <w:rsid w:val="004D5EEE"/>
    <w:rsid w:val="004D725D"/>
    <w:rsid w:val="004E1F40"/>
    <w:rsid w:val="004E5C7C"/>
    <w:rsid w:val="004E66F5"/>
    <w:rsid w:val="004E6DAA"/>
    <w:rsid w:val="004E7A28"/>
    <w:rsid w:val="004F07E9"/>
    <w:rsid w:val="004F2A2D"/>
    <w:rsid w:val="004F2D28"/>
    <w:rsid w:val="004F6A20"/>
    <w:rsid w:val="004F6D12"/>
    <w:rsid w:val="00500CA0"/>
    <w:rsid w:val="00502119"/>
    <w:rsid w:val="0050354D"/>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30026"/>
    <w:rsid w:val="0053017B"/>
    <w:rsid w:val="0053343C"/>
    <w:rsid w:val="005368A1"/>
    <w:rsid w:val="00537652"/>
    <w:rsid w:val="005434A6"/>
    <w:rsid w:val="005438E8"/>
    <w:rsid w:val="00543CFB"/>
    <w:rsid w:val="00544966"/>
    <w:rsid w:val="00545E81"/>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B0E4D"/>
    <w:rsid w:val="005B2FBF"/>
    <w:rsid w:val="005B34D6"/>
    <w:rsid w:val="005B42FF"/>
    <w:rsid w:val="005B5B21"/>
    <w:rsid w:val="005B6ABD"/>
    <w:rsid w:val="005C0404"/>
    <w:rsid w:val="005C10C4"/>
    <w:rsid w:val="005C1221"/>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3DB9"/>
    <w:rsid w:val="00684CDF"/>
    <w:rsid w:val="00685658"/>
    <w:rsid w:val="006874CA"/>
    <w:rsid w:val="00691F30"/>
    <w:rsid w:val="00692F8F"/>
    <w:rsid w:val="00694B93"/>
    <w:rsid w:val="0069658D"/>
    <w:rsid w:val="00696787"/>
    <w:rsid w:val="00696AE2"/>
    <w:rsid w:val="006978C5"/>
    <w:rsid w:val="006A1939"/>
    <w:rsid w:val="006A2195"/>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7BB2"/>
    <w:rsid w:val="006D0BDA"/>
    <w:rsid w:val="006D16F6"/>
    <w:rsid w:val="006D24F1"/>
    <w:rsid w:val="006D6F09"/>
    <w:rsid w:val="006E0E11"/>
    <w:rsid w:val="006E389B"/>
    <w:rsid w:val="006E4AAA"/>
    <w:rsid w:val="006E4DDF"/>
    <w:rsid w:val="006E5101"/>
    <w:rsid w:val="006E72B1"/>
    <w:rsid w:val="006F0BBE"/>
    <w:rsid w:val="006F1964"/>
    <w:rsid w:val="006F1EB6"/>
    <w:rsid w:val="006F27F0"/>
    <w:rsid w:val="006F31F5"/>
    <w:rsid w:val="006F4C7A"/>
    <w:rsid w:val="006F6357"/>
    <w:rsid w:val="006F6521"/>
    <w:rsid w:val="006F67B9"/>
    <w:rsid w:val="006F799E"/>
    <w:rsid w:val="007016E4"/>
    <w:rsid w:val="00703973"/>
    <w:rsid w:val="0070494A"/>
    <w:rsid w:val="0070506A"/>
    <w:rsid w:val="007075AF"/>
    <w:rsid w:val="007076F1"/>
    <w:rsid w:val="0071025A"/>
    <w:rsid w:val="007129B7"/>
    <w:rsid w:val="00712BD1"/>
    <w:rsid w:val="00713554"/>
    <w:rsid w:val="007149B1"/>
    <w:rsid w:val="007155BB"/>
    <w:rsid w:val="00715971"/>
    <w:rsid w:val="00717BB6"/>
    <w:rsid w:val="00720D62"/>
    <w:rsid w:val="00723CA7"/>
    <w:rsid w:val="0072524A"/>
    <w:rsid w:val="0072799E"/>
    <w:rsid w:val="007314A6"/>
    <w:rsid w:val="00731CB6"/>
    <w:rsid w:val="007322D4"/>
    <w:rsid w:val="00732F86"/>
    <w:rsid w:val="0073307F"/>
    <w:rsid w:val="00734CC2"/>
    <w:rsid w:val="00735998"/>
    <w:rsid w:val="00740FEF"/>
    <w:rsid w:val="00741547"/>
    <w:rsid w:val="00741B4A"/>
    <w:rsid w:val="00741D27"/>
    <w:rsid w:val="007445DE"/>
    <w:rsid w:val="007450E5"/>
    <w:rsid w:val="007452CE"/>
    <w:rsid w:val="00745647"/>
    <w:rsid w:val="0074697F"/>
    <w:rsid w:val="00750474"/>
    <w:rsid w:val="00750E17"/>
    <w:rsid w:val="00751C3F"/>
    <w:rsid w:val="007527D1"/>
    <w:rsid w:val="00754E7F"/>
    <w:rsid w:val="00755AAB"/>
    <w:rsid w:val="0075737C"/>
    <w:rsid w:val="007578F5"/>
    <w:rsid w:val="0076075D"/>
    <w:rsid w:val="00761014"/>
    <w:rsid w:val="0076152F"/>
    <w:rsid w:val="00761B3D"/>
    <w:rsid w:val="00762E4E"/>
    <w:rsid w:val="007661AB"/>
    <w:rsid w:val="007668F4"/>
    <w:rsid w:val="0076696E"/>
    <w:rsid w:val="00766F89"/>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BD1"/>
    <w:rsid w:val="007E241E"/>
    <w:rsid w:val="007E26EB"/>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61DA"/>
    <w:rsid w:val="00817C34"/>
    <w:rsid w:val="00821E1E"/>
    <w:rsid w:val="008228D2"/>
    <w:rsid w:val="00822A02"/>
    <w:rsid w:val="00822A4B"/>
    <w:rsid w:val="0082555C"/>
    <w:rsid w:val="00825854"/>
    <w:rsid w:val="00826A6B"/>
    <w:rsid w:val="008276D9"/>
    <w:rsid w:val="00827BDF"/>
    <w:rsid w:val="00827E30"/>
    <w:rsid w:val="00831A33"/>
    <w:rsid w:val="00832075"/>
    <w:rsid w:val="00833CC7"/>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41E8"/>
    <w:rsid w:val="00856217"/>
    <w:rsid w:val="0086090E"/>
    <w:rsid w:val="00860BF4"/>
    <w:rsid w:val="00861413"/>
    <w:rsid w:val="00861BC2"/>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22FA"/>
    <w:rsid w:val="008942C2"/>
    <w:rsid w:val="008949CB"/>
    <w:rsid w:val="008968A2"/>
    <w:rsid w:val="00896B2A"/>
    <w:rsid w:val="008973E4"/>
    <w:rsid w:val="008A02C4"/>
    <w:rsid w:val="008A191D"/>
    <w:rsid w:val="008A1B98"/>
    <w:rsid w:val="008A345A"/>
    <w:rsid w:val="008A376E"/>
    <w:rsid w:val="008A415B"/>
    <w:rsid w:val="008A4E4E"/>
    <w:rsid w:val="008A5510"/>
    <w:rsid w:val="008A6D96"/>
    <w:rsid w:val="008A70F0"/>
    <w:rsid w:val="008B11ED"/>
    <w:rsid w:val="008B2BE5"/>
    <w:rsid w:val="008B2D0C"/>
    <w:rsid w:val="008B38EA"/>
    <w:rsid w:val="008B42BC"/>
    <w:rsid w:val="008B5240"/>
    <w:rsid w:val="008B5AD2"/>
    <w:rsid w:val="008B621F"/>
    <w:rsid w:val="008B6E49"/>
    <w:rsid w:val="008C058F"/>
    <w:rsid w:val="008C05B7"/>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689D"/>
    <w:rsid w:val="00936F08"/>
    <w:rsid w:val="00937601"/>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D7F"/>
    <w:rsid w:val="009657FB"/>
    <w:rsid w:val="009661FA"/>
    <w:rsid w:val="0096793B"/>
    <w:rsid w:val="009703F1"/>
    <w:rsid w:val="00971779"/>
    <w:rsid w:val="0097251E"/>
    <w:rsid w:val="00973410"/>
    <w:rsid w:val="009745F1"/>
    <w:rsid w:val="00974B54"/>
    <w:rsid w:val="0097564C"/>
    <w:rsid w:val="00975D5E"/>
    <w:rsid w:val="00975D88"/>
    <w:rsid w:val="00981448"/>
    <w:rsid w:val="00981BCC"/>
    <w:rsid w:val="009825B0"/>
    <w:rsid w:val="009836FE"/>
    <w:rsid w:val="00983CE3"/>
    <w:rsid w:val="00984589"/>
    <w:rsid w:val="009860E2"/>
    <w:rsid w:val="00986317"/>
    <w:rsid w:val="00986B1B"/>
    <w:rsid w:val="00987B25"/>
    <w:rsid w:val="00991256"/>
    <w:rsid w:val="009923E2"/>
    <w:rsid w:val="00993200"/>
    <w:rsid w:val="00993488"/>
    <w:rsid w:val="00993D5D"/>
    <w:rsid w:val="0099421C"/>
    <w:rsid w:val="009955E2"/>
    <w:rsid w:val="0099560D"/>
    <w:rsid w:val="0099572B"/>
    <w:rsid w:val="009960D2"/>
    <w:rsid w:val="00996B9C"/>
    <w:rsid w:val="00996DA4"/>
    <w:rsid w:val="0099753D"/>
    <w:rsid w:val="009A0CD9"/>
    <w:rsid w:val="009A34F4"/>
    <w:rsid w:val="009A5061"/>
    <w:rsid w:val="009A54D1"/>
    <w:rsid w:val="009A56AD"/>
    <w:rsid w:val="009A6D6D"/>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DA4"/>
    <w:rsid w:val="009D7966"/>
    <w:rsid w:val="009D7A6F"/>
    <w:rsid w:val="009D7A83"/>
    <w:rsid w:val="009E2FDE"/>
    <w:rsid w:val="009E3097"/>
    <w:rsid w:val="009E33CB"/>
    <w:rsid w:val="009E497C"/>
    <w:rsid w:val="009E4B74"/>
    <w:rsid w:val="009E4BCF"/>
    <w:rsid w:val="009E50E1"/>
    <w:rsid w:val="009E5D9E"/>
    <w:rsid w:val="009E7CF8"/>
    <w:rsid w:val="009F152B"/>
    <w:rsid w:val="009F4337"/>
    <w:rsid w:val="009F4396"/>
    <w:rsid w:val="009F52CF"/>
    <w:rsid w:val="009F6193"/>
    <w:rsid w:val="00A01651"/>
    <w:rsid w:val="00A02283"/>
    <w:rsid w:val="00A04C00"/>
    <w:rsid w:val="00A077BC"/>
    <w:rsid w:val="00A105BF"/>
    <w:rsid w:val="00A11550"/>
    <w:rsid w:val="00A15189"/>
    <w:rsid w:val="00A2005A"/>
    <w:rsid w:val="00A21723"/>
    <w:rsid w:val="00A22823"/>
    <w:rsid w:val="00A247AE"/>
    <w:rsid w:val="00A26844"/>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4F6A"/>
    <w:rsid w:val="00A65CBC"/>
    <w:rsid w:val="00A663F8"/>
    <w:rsid w:val="00A6650F"/>
    <w:rsid w:val="00A71605"/>
    <w:rsid w:val="00A73C31"/>
    <w:rsid w:val="00A74480"/>
    <w:rsid w:val="00A76A62"/>
    <w:rsid w:val="00A85079"/>
    <w:rsid w:val="00A9019E"/>
    <w:rsid w:val="00A90CCB"/>
    <w:rsid w:val="00A92244"/>
    <w:rsid w:val="00A92297"/>
    <w:rsid w:val="00A928F8"/>
    <w:rsid w:val="00A95F96"/>
    <w:rsid w:val="00AA140F"/>
    <w:rsid w:val="00AA164F"/>
    <w:rsid w:val="00AA381E"/>
    <w:rsid w:val="00AA4DD6"/>
    <w:rsid w:val="00AA5456"/>
    <w:rsid w:val="00AA7038"/>
    <w:rsid w:val="00AA7EA0"/>
    <w:rsid w:val="00AB287A"/>
    <w:rsid w:val="00AB5F21"/>
    <w:rsid w:val="00AB66F2"/>
    <w:rsid w:val="00AC10F6"/>
    <w:rsid w:val="00AC1D79"/>
    <w:rsid w:val="00AC26CF"/>
    <w:rsid w:val="00AC3CED"/>
    <w:rsid w:val="00AC4E4D"/>
    <w:rsid w:val="00AC538E"/>
    <w:rsid w:val="00AC7560"/>
    <w:rsid w:val="00AC7E26"/>
    <w:rsid w:val="00AD0D63"/>
    <w:rsid w:val="00AD10E7"/>
    <w:rsid w:val="00AD17AE"/>
    <w:rsid w:val="00AD1F7B"/>
    <w:rsid w:val="00AD1F84"/>
    <w:rsid w:val="00AD3441"/>
    <w:rsid w:val="00AD7C61"/>
    <w:rsid w:val="00AE0123"/>
    <w:rsid w:val="00AE1035"/>
    <w:rsid w:val="00AE114E"/>
    <w:rsid w:val="00AE2949"/>
    <w:rsid w:val="00AE3B84"/>
    <w:rsid w:val="00AE4234"/>
    <w:rsid w:val="00AE7DF8"/>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4DC"/>
    <w:rsid w:val="00B3054F"/>
    <w:rsid w:val="00B31CA8"/>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1319"/>
    <w:rsid w:val="00B5221A"/>
    <w:rsid w:val="00B5515B"/>
    <w:rsid w:val="00B625A0"/>
    <w:rsid w:val="00B63117"/>
    <w:rsid w:val="00B6369C"/>
    <w:rsid w:val="00B64100"/>
    <w:rsid w:val="00B657CC"/>
    <w:rsid w:val="00B65F2B"/>
    <w:rsid w:val="00B70A8E"/>
    <w:rsid w:val="00B752BD"/>
    <w:rsid w:val="00B7633E"/>
    <w:rsid w:val="00B76613"/>
    <w:rsid w:val="00B76DEC"/>
    <w:rsid w:val="00B7776D"/>
    <w:rsid w:val="00B808B7"/>
    <w:rsid w:val="00B81812"/>
    <w:rsid w:val="00B82901"/>
    <w:rsid w:val="00B832E0"/>
    <w:rsid w:val="00B83FC8"/>
    <w:rsid w:val="00B85B09"/>
    <w:rsid w:val="00B864A1"/>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4FB"/>
    <w:rsid w:val="00BC1A52"/>
    <w:rsid w:val="00BC2680"/>
    <w:rsid w:val="00BC2F62"/>
    <w:rsid w:val="00BC6250"/>
    <w:rsid w:val="00BC6B71"/>
    <w:rsid w:val="00BD0A4B"/>
    <w:rsid w:val="00BD1352"/>
    <w:rsid w:val="00BD22B5"/>
    <w:rsid w:val="00BD25E0"/>
    <w:rsid w:val="00BD6AA4"/>
    <w:rsid w:val="00BD7AB6"/>
    <w:rsid w:val="00BE0340"/>
    <w:rsid w:val="00BE0B1A"/>
    <w:rsid w:val="00BE1E99"/>
    <w:rsid w:val="00BE33BB"/>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4091F"/>
    <w:rsid w:val="00C41CA2"/>
    <w:rsid w:val="00C421EC"/>
    <w:rsid w:val="00C426E2"/>
    <w:rsid w:val="00C42B26"/>
    <w:rsid w:val="00C43BA5"/>
    <w:rsid w:val="00C447CF"/>
    <w:rsid w:val="00C45690"/>
    <w:rsid w:val="00C46658"/>
    <w:rsid w:val="00C46E4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726B"/>
    <w:rsid w:val="00C72129"/>
    <w:rsid w:val="00C7249B"/>
    <w:rsid w:val="00C72705"/>
    <w:rsid w:val="00C72BF0"/>
    <w:rsid w:val="00C72CDB"/>
    <w:rsid w:val="00C73524"/>
    <w:rsid w:val="00C7431A"/>
    <w:rsid w:val="00C74A20"/>
    <w:rsid w:val="00C7569E"/>
    <w:rsid w:val="00C77B26"/>
    <w:rsid w:val="00C82727"/>
    <w:rsid w:val="00C840DB"/>
    <w:rsid w:val="00C84A6F"/>
    <w:rsid w:val="00C865CD"/>
    <w:rsid w:val="00C90E80"/>
    <w:rsid w:val="00C91349"/>
    <w:rsid w:val="00C92171"/>
    <w:rsid w:val="00C92598"/>
    <w:rsid w:val="00C943D1"/>
    <w:rsid w:val="00C9459B"/>
    <w:rsid w:val="00C946BD"/>
    <w:rsid w:val="00C95AB6"/>
    <w:rsid w:val="00C9601B"/>
    <w:rsid w:val="00C97FB0"/>
    <w:rsid w:val="00CA2DC1"/>
    <w:rsid w:val="00CA2E88"/>
    <w:rsid w:val="00CA445C"/>
    <w:rsid w:val="00CA463C"/>
    <w:rsid w:val="00CA4ACB"/>
    <w:rsid w:val="00CA57FB"/>
    <w:rsid w:val="00CA69C3"/>
    <w:rsid w:val="00CA7C33"/>
    <w:rsid w:val="00CB0039"/>
    <w:rsid w:val="00CB0816"/>
    <w:rsid w:val="00CB206B"/>
    <w:rsid w:val="00CB29DC"/>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42A"/>
    <w:rsid w:val="00CE171B"/>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13F5"/>
    <w:rsid w:val="00D11673"/>
    <w:rsid w:val="00D14740"/>
    <w:rsid w:val="00D14D75"/>
    <w:rsid w:val="00D1628B"/>
    <w:rsid w:val="00D1763F"/>
    <w:rsid w:val="00D17F5E"/>
    <w:rsid w:val="00D20708"/>
    <w:rsid w:val="00D2423C"/>
    <w:rsid w:val="00D24665"/>
    <w:rsid w:val="00D25014"/>
    <w:rsid w:val="00D25E49"/>
    <w:rsid w:val="00D260C9"/>
    <w:rsid w:val="00D26CC9"/>
    <w:rsid w:val="00D26D84"/>
    <w:rsid w:val="00D26DFC"/>
    <w:rsid w:val="00D26EFE"/>
    <w:rsid w:val="00D27F8B"/>
    <w:rsid w:val="00D30814"/>
    <w:rsid w:val="00D33553"/>
    <w:rsid w:val="00D33728"/>
    <w:rsid w:val="00D35740"/>
    <w:rsid w:val="00D36602"/>
    <w:rsid w:val="00D37062"/>
    <w:rsid w:val="00D37AA7"/>
    <w:rsid w:val="00D409B6"/>
    <w:rsid w:val="00D41466"/>
    <w:rsid w:val="00D41B42"/>
    <w:rsid w:val="00D41DD4"/>
    <w:rsid w:val="00D44180"/>
    <w:rsid w:val="00D46093"/>
    <w:rsid w:val="00D4664A"/>
    <w:rsid w:val="00D46AA1"/>
    <w:rsid w:val="00D4776D"/>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69F1"/>
    <w:rsid w:val="00D80F85"/>
    <w:rsid w:val="00D81AEE"/>
    <w:rsid w:val="00D82337"/>
    <w:rsid w:val="00D82F7B"/>
    <w:rsid w:val="00D830B2"/>
    <w:rsid w:val="00D83678"/>
    <w:rsid w:val="00D83FE9"/>
    <w:rsid w:val="00D85E96"/>
    <w:rsid w:val="00D85F8B"/>
    <w:rsid w:val="00D8602A"/>
    <w:rsid w:val="00D87D0F"/>
    <w:rsid w:val="00D90DD3"/>
    <w:rsid w:val="00D93425"/>
    <w:rsid w:val="00D93814"/>
    <w:rsid w:val="00D942D0"/>
    <w:rsid w:val="00D94648"/>
    <w:rsid w:val="00D94719"/>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1395"/>
    <w:rsid w:val="00E015D8"/>
    <w:rsid w:val="00E016A6"/>
    <w:rsid w:val="00E03EC4"/>
    <w:rsid w:val="00E060E8"/>
    <w:rsid w:val="00E0727E"/>
    <w:rsid w:val="00E107A4"/>
    <w:rsid w:val="00E1117E"/>
    <w:rsid w:val="00E11F3A"/>
    <w:rsid w:val="00E13D0D"/>
    <w:rsid w:val="00E15A2B"/>
    <w:rsid w:val="00E15F76"/>
    <w:rsid w:val="00E232CC"/>
    <w:rsid w:val="00E26CB8"/>
    <w:rsid w:val="00E3040C"/>
    <w:rsid w:val="00E305AB"/>
    <w:rsid w:val="00E30DD9"/>
    <w:rsid w:val="00E36CD0"/>
    <w:rsid w:val="00E374AD"/>
    <w:rsid w:val="00E40D1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70FF"/>
    <w:rsid w:val="00E67381"/>
    <w:rsid w:val="00E73603"/>
    <w:rsid w:val="00E74273"/>
    <w:rsid w:val="00E74C8E"/>
    <w:rsid w:val="00E75DEC"/>
    <w:rsid w:val="00E81AA8"/>
    <w:rsid w:val="00E81F8F"/>
    <w:rsid w:val="00E82F29"/>
    <w:rsid w:val="00E83CD4"/>
    <w:rsid w:val="00E85785"/>
    <w:rsid w:val="00E901FB"/>
    <w:rsid w:val="00E90927"/>
    <w:rsid w:val="00E90A2D"/>
    <w:rsid w:val="00E911C4"/>
    <w:rsid w:val="00E91463"/>
    <w:rsid w:val="00E949AF"/>
    <w:rsid w:val="00E96896"/>
    <w:rsid w:val="00EA019F"/>
    <w:rsid w:val="00EA0A42"/>
    <w:rsid w:val="00EA146B"/>
    <w:rsid w:val="00EA28E7"/>
    <w:rsid w:val="00EA316C"/>
    <w:rsid w:val="00EA73F5"/>
    <w:rsid w:val="00EB1B29"/>
    <w:rsid w:val="00EB272C"/>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A03"/>
    <w:rsid w:val="00EE4DB5"/>
    <w:rsid w:val="00EE55B8"/>
    <w:rsid w:val="00EE6893"/>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7B25"/>
    <w:rsid w:val="00F11A1F"/>
    <w:rsid w:val="00F14D2D"/>
    <w:rsid w:val="00F15345"/>
    <w:rsid w:val="00F1552A"/>
    <w:rsid w:val="00F20BFA"/>
    <w:rsid w:val="00F25144"/>
    <w:rsid w:val="00F27155"/>
    <w:rsid w:val="00F30B7C"/>
    <w:rsid w:val="00F321CB"/>
    <w:rsid w:val="00F329C8"/>
    <w:rsid w:val="00F33D4F"/>
    <w:rsid w:val="00F34143"/>
    <w:rsid w:val="00F3580A"/>
    <w:rsid w:val="00F3606E"/>
    <w:rsid w:val="00F40933"/>
    <w:rsid w:val="00F40D46"/>
    <w:rsid w:val="00F41A7E"/>
    <w:rsid w:val="00F41FA2"/>
    <w:rsid w:val="00F42B64"/>
    <w:rsid w:val="00F4320F"/>
    <w:rsid w:val="00F43DB8"/>
    <w:rsid w:val="00F44420"/>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795"/>
    <w:rsid w:val="00F968A0"/>
    <w:rsid w:val="00F97696"/>
    <w:rsid w:val="00F97830"/>
    <w:rsid w:val="00F978D3"/>
    <w:rsid w:val="00FA3361"/>
    <w:rsid w:val="00FA3E4E"/>
    <w:rsid w:val="00FA3ECD"/>
    <w:rsid w:val="00FA4251"/>
    <w:rsid w:val="00FA7BC1"/>
    <w:rsid w:val="00FB26AE"/>
    <w:rsid w:val="00FB41C9"/>
    <w:rsid w:val="00FB5DF3"/>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5B1C1E-0A40-4BDF-B732-66C387D8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2702</TotalTime>
  <Pages>6</Pages>
  <Words>2028</Words>
  <Characters>11565</Characters>
  <Application>Microsoft Office Word</Application>
  <DocSecurity>0</DocSecurity>
  <Lines>96</Lines>
  <Paragraphs>27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50</cp:revision>
  <dcterms:created xsi:type="dcterms:W3CDTF">2023-02-09T05:00:00Z</dcterms:created>
  <dcterms:modified xsi:type="dcterms:W3CDTF">2024-02-16T05:33:00Z</dcterms:modified>
</cp:coreProperties>
</file>